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0AA17" w14:textId="77777777" w:rsidR="00B00093" w:rsidRPr="003127E7" w:rsidRDefault="00B00093" w:rsidP="00D840CF"/>
    <w:p w14:paraId="4AEA0880" w14:textId="77777777" w:rsidR="00A458A2" w:rsidRPr="003127E7" w:rsidRDefault="005D5E1D" w:rsidP="00A458A2">
      <w:pPr>
        <w:pStyle w:val="Balk1"/>
        <w:spacing w:before="0" w:line="240" w:lineRule="auto"/>
        <w:ind w:right="-1320"/>
        <w:rPr>
          <w:rFonts w:asciiTheme="minorHAnsi" w:hAnsiTheme="minorHAnsi" w:cs="Arial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</w:p>
    <w:p w14:paraId="0F54EFAB" w14:textId="77777777" w:rsidR="005D5E1D" w:rsidRPr="003127E7" w:rsidRDefault="004C75D2" w:rsidP="00A458A2">
      <w:pPr>
        <w:pStyle w:val="Balk1"/>
        <w:spacing w:before="0" w:line="240" w:lineRule="auto"/>
        <w:ind w:left="7080" w:right="-1320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noProof/>
          <w:lang w:eastAsia="tr-T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0CAC58C" wp14:editId="0E095A2A">
                <wp:simplePos x="0" y="0"/>
                <wp:positionH relativeFrom="column">
                  <wp:posOffset>-857250</wp:posOffset>
                </wp:positionH>
                <wp:positionV relativeFrom="paragraph">
                  <wp:posOffset>277494</wp:posOffset>
                </wp:positionV>
                <wp:extent cx="5662295" cy="0"/>
                <wp:effectExtent l="0" t="19050" r="1460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70DA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5pt;margin-top:21.85pt;width:445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SIAIAADw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" strokecolor="#002060" strokeweight="4.5pt"/>
            </w:pict>
          </mc:Fallback>
        </mc:AlternateContent>
      </w:r>
      <w:r w:rsidR="005D5E1D" w:rsidRPr="003127E7">
        <w:rPr>
          <w:rFonts w:asciiTheme="minorHAnsi" w:hAnsiTheme="minorHAnsi" w:cs="Arial"/>
          <w:color w:val="002060"/>
          <w:sz w:val="36"/>
        </w:rPr>
        <w:t xml:space="preserve"> </w:t>
      </w:r>
      <w:r w:rsidR="003127E7">
        <w:rPr>
          <w:rFonts w:asciiTheme="minorHAnsi" w:hAnsiTheme="minorHAnsi" w:cs="Arial"/>
          <w:color w:val="002060"/>
          <w:sz w:val="36"/>
        </w:rPr>
        <w:t xml:space="preserve">       </w:t>
      </w:r>
      <w:r w:rsidR="005D5E1D" w:rsidRPr="003127E7">
        <w:rPr>
          <w:rFonts w:asciiTheme="minorHAnsi" w:hAnsiTheme="minorHAnsi" w:cs="Arial"/>
          <w:color w:val="002060"/>
          <w:sz w:val="36"/>
        </w:rPr>
        <w:t>HABER BÜLTENİ</w:t>
      </w:r>
    </w:p>
    <w:p w14:paraId="487B2C71" w14:textId="6181391A" w:rsidR="009E7875" w:rsidRPr="0081647D" w:rsidRDefault="005D5E1D" w:rsidP="009E7875">
      <w:pPr>
        <w:pStyle w:val="Balk1"/>
        <w:spacing w:before="0" w:line="240" w:lineRule="auto"/>
        <w:ind w:right="-1200"/>
        <w:rPr>
          <w:rFonts w:asciiTheme="minorHAnsi" w:hAnsiTheme="minorHAnsi" w:cs="Arial"/>
          <w:color w:val="002060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  <w:t xml:space="preserve">  </w:t>
      </w:r>
      <w:r w:rsidRPr="003127E7">
        <w:rPr>
          <w:rFonts w:asciiTheme="minorHAnsi" w:hAnsiTheme="minorHAnsi" w:cs="Arial"/>
          <w:sz w:val="24"/>
        </w:rPr>
        <w:t xml:space="preserve"> </w:t>
      </w:r>
      <w:r w:rsidR="003127E7">
        <w:rPr>
          <w:rFonts w:asciiTheme="minorHAnsi" w:hAnsiTheme="minorHAnsi" w:cs="Arial"/>
          <w:sz w:val="24"/>
        </w:rPr>
        <w:t xml:space="preserve">        </w:t>
      </w:r>
      <w:r w:rsidR="009A31B6">
        <w:rPr>
          <w:rFonts w:asciiTheme="minorHAnsi" w:hAnsiTheme="minorHAnsi" w:cs="Arial"/>
          <w:sz w:val="24"/>
        </w:rPr>
        <w:t xml:space="preserve"> </w:t>
      </w:r>
      <w:r w:rsidR="0070787F" w:rsidRPr="0081647D">
        <w:rPr>
          <w:rFonts w:asciiTheme="minorHAnsi" w:hAnsiTheme="minorHAnsi" w:cs="Arial"/>
          <w:color w:val="002060"/>
        </w:rPr>
        <w:t>09</w:t>
      </w:r>
      <w:r w:rsidR="00323CD1" w:rsidRPr="0081647D">
        <w:rPr>
          <w:rFonts w:asciiTheme="minorHAnsi" w:hAnsiTheme="minorHAnsi" w:cs="Arial"/>
          <w:color w:val="002060"/>
        </w:rPr>
        <w:t>.</w:t>
      </w:r>
      <w:r w:rsidR="009A5450" w:rsidRPr="0081647D">
        <w:rPr>
          <w:rFonts w:asciiTheme="minorHAnsi" w:hAnsiTheme="minorHAnsi" w:cs="Arial"/>
          <w:color w:val="002060"/>
        </w:rPr>
        <w:t>01</w:t>
      </w:r>
      <w:r w:rsidR="00A90A05" w:rsidRPr="0081647D">
        <w:rPr>
          <w:rFonts w:asciiTheme="minorHAnsi" w:hAnsiTheme="minorHAnsi" w:cs="Arial"/>
          <w:color w:val="002060"/>
        </w:rPr>
        <w:t>.201</w:t>
      </w:r>
      <w:r w:rsidR="0070787F" w:rsidRPr="0081647D">
        <w:rPr>
          <w:rFonts w:asciiTheme="minorHAnsi" w:hAnsiTheme="minorHAnsi" w:cs="Arial"/>
          <w:color w:val="002060"/>
        </w:rPr>
        <w:t>9</w:t>
      </w:r>
      <w:r w:rsidR="00F62398" w:rsidRPr="0081647D">
        <w:rPr>
          <w:rFonts w:asciiTheme="minorHAnsi" w:hAnsiTheme="minorHAnsi" w:cs="Arial"/>
          <w:color w:val="002060"/>
        </w:rPr>
        <w:t xml:space="preserve"> </w:t>
      </w:r>
      <w:r w:rsidR="00DB1A19" w:rsidRPr="0081647D">
        <w:rPr>
          <w:rFonts w:asciiTheme="minorHAnsi" w:hAnsiTheme="minorHAnsi" w:cs="Arial"/>
          <w:color w:val="002060"/>
        </w:rPr>
        <w:t xml:space="preserve">   </w:t>
      </w:r>
      <w:r w:rsidR="00DD4293">
        <w:rPr>
          <w:rFonts w:asciiTheme="minorHAnsi" w:hAnsiTheme="minorHAnsi" w:cs="Arial"/>
          <w:color w:val="002060"/>
        </w:rPr>
        <w:t>Sayı 108</w:t>
      </w:r>
      <w:bookmarkStart w:id="0" w:name="_GoBack"/>
      <w:bookmarkEnd w:id="0"/>
    </w:p>
    <w:p w14:paraId="3864C32B" w14:textId="4DB9C684" w:rsidR="008C1CC7" w:rsidRPr="00AE3DA9" w:rsidRDefault="00191061" w:rsidP="00DD4293">
      <w:pPr>
        <w:pStyle w:val="Balk1"/>
        <w:spacing w:before="0" w:line="240" w:lineRule="auto"/>
        <w:ind w:right="-1202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81647D">
        <w:rPr>
          <w:rFonts w:asciiTheme="minorHAnsi" w:hAnsiTheme="minorHAnsi" w:cs="Arial"/>
          <w:color w:val="auto"/>
        </w:rPr>
        <w:t>PERAKENDE GÜVENİ</w:t>
      </w:r>
      <w:r w:rsidR="007069B9" w:rsidRPr="0081647D">
        <w:rPr>
          <w:rFonts w:asciiTheme="minorHAnsi" w:hAnsiTheme="minorHAnsi" w:cs="Arial"/>
          <w:color w:val="auto"/>
        </w:rPr>
        <w:t>,</w:t>
      </w:r>
      <w:r w:rsidR="0000585A" w:rsidRPr="0081647D">
        <w:rPr>
          <w:rFonts w:asciiTheme="minorHAnsi" w:hAnsiTheme="minorHAnsi" w:cs="Arial"/>
          <w:color w:val="auto"/>
        </w:rPr>
        <w:t xml:space="preserve"> </w:t>
      </w:r>
      <w:r w:rsidR="0081647D" w:rsidRPr="0081647D">
        <w:rPr>
          <w:rFonts w:asciiTheme="minorHAnsi" w:hAnsiTheme="minorHAnsi" w:cs="Arial"/>
          <w:color w:val="auto"/>
        </w:rPr>
        <w:t xml:space="preserve">2018 </w:t>
      </w:r>
      <w:r w:rsidR="00DD4293">
        <w:rPr>
          <w:rFonts w:asciiTheme="minorHAnsi" w:hAnsiTheme="minorHAnsi" w:cs="Arial"/>
          <w:color w:val="auto"/>
        </w:rPr>
        <w:t>YILINDA 2009’UN GERİSİNDE KALDI</w:t>
      </w:r>
    </w:p>
    <w:p w14:paraId="4B52F103" w14:textId="5ED035C7" w:rsidR="00E36DF8" w:rsidRDefault="00EA16FF" w:rsidP="005A06C0">
      <w:pPr>
        <w:pStyle w:val="Balk2"/>
        <w:spacing w:before="240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CF224F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 </w:t>
      </w:r>
      <w:r w:rsidR="00467E99">
        <w:rPr>
          <w:rFonts w:asciiTheme="minorHAnsi" w:hAnsiTheme="minorHAnsi" w:cs="Arial"/>
          <w:b w:val="0"/>
          <w:color w:val="000000" w:themeColor="text1"/>
          <w:sz w:val="24"/>
        </w:rPr>
        <w:t>Aralık ayında</w:t>
      </w:r>
      <w:r w:rsidR="00780D3B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485858">
        <w:rPr>
          <w:rFonts w:asciiTheme="minorHAnsi" w:hAnsiTheme="minorHAnsi" w:cs="Arial"/>
          <w:b w:val="0"/>
          <w:color w:val="000000" w:themeColor="text1"/>
          <w:sz w:val="24"/>
        </w:rPr>
        <w:t>hem geçen yıla hem de</w:t>
      </w:r>
      <w:r w:rsidR="00BB0A28">
        <w:rPr>
          <w:rFonts w:asciiTheme="minorHAnsi" w:hAnsiTheme="minorHAnsi" w:cs="Arial"/>
          <w:b w:val="0"/>
          <w:color w:val="000000" w:themeColor="text1"/>
          <w:sz w:val="24"/>
        </w:rPr>
        <w:t xml:space="preserve"> geçen aya göre artmasına rağmen</w:t>
      </w:r>
      <w:r w:rsidR="00876F18" w:rsidRPr="00CF224F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5A06C0">
        <w:rPr>
          <w:rFonts w:asciiTheme="minorHAnsi" w:hAnsiTheme="minorHAnsi" w:cs="Arial"/>
          <w:b w:val="0"/>
          <w:color w:val="000000" w:themeColor="text1"/>
          <w:sz w:val="24"/>
        </w:rPr>
        <w:t>2018</w:t>
      </w:r>
      <w:r w:rsidR="00D75ADF">
        <w:rPr>
          <w:rFonts w:asciiTheme="minorHAnsi" w:hAnsiTheme="minorHAnsi" w:cs="Arial"/>
          <w:b w:val="0"/>
          <w:color w:val="000000" w:themeColor="text1"/>
          <w:sz w:val="24"/>
        </w:rPr>
        <w:t xml:space="preserve"> yılını negatif seviyede tamamladı. Geçtiğimiz 3 ayda işlerin durumu, </w:t>
      </w:r>
      <w:r w:rsidR="00D75ADF" w:rsidRPr="008D7E3D">
        <w:rPr>
          <w:rFonts w:asciiTheme="minorHAnsi" w:hAnsiTheme="minorHAnsi" w:cs="Arial"/>
          <w:b w:val="0"/>
          <w:color w:val="000000" w:themeColor="text1"/>
          <w:sz w:val="24"/>
        </w:rPr>
        <w:t>ö</w:t>
      </w:r>
      <w:r w:rsidR="00780D3B" w:rsidRPr="008D7E3D">
        <w:rPr>
          <w:rFonts w:asciiTheme="minorHAnsi" w:hAnsiTheme="minorHAnsi" w:cs="Arial"/>
          <w:b w:val="0"/>
          <w:color w:val="000000" w:themeColor="text1"/>
          <w:sz w:val="24"/>
        </w:rPr>
        <w:t>nümüzdeki 3 ayda te</w:t>
      </w:r>
      <w:r w:rsidR="005A06C0">
        <w:rPr>
          <w:rFonts w:asciiTheme="minorHAnsi" w:hAnsiTheme="minorHAnsi" w:cs="Arial"/>
          <w:b w:val="0"/>
          <w:color w:val="000000" w:themeColor="text1"/>
          <w:sz w:val="24"/>
        </w:rPr>
        <w:t xml:space="preserve">darikçilerden sipariş, satış, </w:t>
      </w:r>
      <w:r w:rsidR="00780D3B" w:rsidRPr="008D7E3D">
        <w:rPr>
          <w:rFonts w:asciiTheme="minorHAnsi" w:hAnsiTheme="minorHAnsi" w:cs="Arial"/>
          <w:b w:val="0"/>
          <w:color w:val="000000" w:themeColor="text1"/>
          <w:sz w:val="24"/>
        </w:rPr>
        <w:t xml:space="preserve">istihdam </w:t>
      </w:r>
      <w:r w:rsidR="005A06C0">
        <w:rPr>
          <w:rFonts w:asciiTheme="minorHAnsi" w:hAnsiTheme="minorHAnsi" w:cs="Arial"/>
          <w:b w:val="0"/>
          <w:color w:val="000000" w:themeColor="text1"/>
          <w:sz w:val="24"/>
        </w:rPr>
        <w:t xml:space="preserve">ve satış fiyatı </w:t>
      </w:r>
      <w:r w:rsidR="00780D3B" w:rsidRPr="008D7E3D">
        <w:rPr>
          <w:rFonts w:asciiTheme="minorHAnsi" w:hAnsiTheme="minorHAnsi" w:cs="Arial"/>
          <w:b w:val="0"/>
          <w:color w:val="000000" w:themeColor="text1"/>
          <w:sz w:val="24"/>
        </w:rPr>
        <w:t>beklentileri</w:t>
      </w:r>
      <w:r w:rsidR="006A46CB" w:rsidRPr="008D7E3D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5A06C0">
        <w:rPr>
          <w:rFonts w:asciiTheme="minorHAnsi" w:hAnsiTheme="minorHAnsi" w:cs="Arial"/>
          <w:b w:val="0"/>
          <w:color w:val="000000" w:themeColor="text1"/>
          <w:sz w:val="24"/>
        </w:rPr>
        <w:t xml:space="preserve">hem Aralık 2017’ye hem de </w:t>
      </w:r>
      <w:r w:rsidR="00485858">
        <w:rPr>
          <w:rFonts w:asciiTheme="minorHAnsi" w:hAnsiTheme="minorHAnsi" w:cs="Arial"/>
          <w:b w:val="0"/>
          <w:color w:val="000000" w:themeColor="text1"/>
          <w:sz w:val="24"/>
        </w:rPr>
        <w:t>Kasım 201</w:t>
      </w:r>
      <w:r w:rsidR="005A06C0">
        <w:rPr>
          <w:rFonts w:asciiTheme="minorHAnsi" w:hAnsiTheme="minorHAnsi" w:cs="Arial"/>
          <w:b w:val="0"/>
          <w:color w:val="000000" w:themeColor="text1"/>
          <w:sz w:val="24"/>
        </w:rPr>
        <w:t>8’</w:t>
      </w:r>
      <w:r w:rsidR="00485858">
        <w:rPr>
          <w:rFonts w:asciiTheme="minorHAnsi" w:hAnsiTheme="minorHAnsi" w:cs="Arial"/>
          <w:b w:val="0"/>
          <w:color w:val="000000" w:themeColor="text1"/>
          <w:sz w:val="24"/>
        </w:rPr>
        <w:t>e göre arttı</w:t>
      </w:r>
      <w:r w:rsidR="00051D0F" w:rsidRPr="008D7E3D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0B69E3" w:rsidRPr="008D7E3D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proofErr w:type="spellStart"/>
      <w:r w:rsidR="00485858" w:rsidRPr="00535D1C">
        <w:rPr>
          <w:rFonts w:asciiTheme="minorHAnsi" w:hAnsiTheme="minorHAnsi" w:cs="Arial"/>
          <w:b w:val="0"/>
          <w:color w:val="000000" w:themeColor="text1"/>
          <w:sz w:val="24"/>
        </w:rPr>
        <w:t>TEPE’nin</w:t>
      </w:r>
      <w:proofErr w:type="spellEnd"/>
      <w:r w:rsidR="00485858" w:rsidRPr="00535D1C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D75ADF" w:rsidRPr="00535D1C">
        <w:rPr>
          <w:rFonts w:asciiTheme="minorHAnsi" w:hAnsiTheme="minorHAnsi" w:cs="Arial"/>
          <w:b w:val="0"/>
          <w:color w:val="000000" w:themeColor="text1"/>
          <w:sz w:val="24"/>
        </w:rPr>
        <w:t>201</w:t>
      </w:r>
      <w:r w:rsidR="005A06C0" w:rsidRPr="00535D1C">
        <w:rPr>
          <w:rFonts w:asciiTheme="minorHAnsi" w:hAnsiTheme="minorHAnsi" w:cs="Arial"/>
          <w:b w:val="0"/>
          <w:color w:val="000000" w:themeColor="text1"/>
          <w:sz w:val="24"/>
        </w:rPr>
        <w:t>8 yılı ortalaması -13,7</w:t>
      </w:r>
      <w:r w:rsidR="00485858" w:rsidRPr="00535D1C">
        <w:rPr>
          <w:rFonts w:asciiTheme="minorHAnsi" w:hAnsiTheme="minorHAnsi" w:cs="Arial"/>
          <w:b w:val="0"/>
          <w:color w:val="000000" w:themeColor="text1"/>
          <w:sz w:val="24"/>
        </w:rPr>
        <w:t xml:space="preserve"> puan </w:t>
      </w:r>
      <w:r w:rsidR="007069B9" w:rsidRPr="00535D1C">
        <w:rPr>
          <w:rFonts w:asciiTheme="minorHAnsi" w:hAnsiTheme="minorHAnsi" w:cs="Arial"/>
          <w:b w:val="0"/>
          <w:color w:val="000000" w:themeColor="text1"/>
          <w:sz w:val="24"/>
        </w:rPr>
        <w:t>olurken, bu seviye</w:t>
      </w:r>
      <w:r w:rsidR="00BB0A28" w:rsidRPr="00535D1C">
        <w:rPr>
          <w:rFonts w:asciiTheme="minorHAnsi" w:hAnsiTheme="minorHAnsi" w:cs="Arial"/>
          <w:b w:val="0"/>
          <w:color w:val="000000" w:themeColor="text1"/>
          <w:sz w:val="24"/>
        </w:rPr>
        <w:t xml:space="preserve"> küresel krizin etkilerinin iz</w:t>
      </w:r>
      <w:r w:rsidR="00D9766B" w:rsidRPr="00535D1C">
        <w:rPr>
          <w:rFonts w:asciiTheme="minorHAnsi" w:hAnsiTheme="minorHAnsi" w:cs="Arial"/>
          <w:b w:val="0"/>
          <w:color w:val="000000" w:themeColor="text1"/>
          <w:sz w:val="24"/>
        </w:rPr>
        <w:t>lendiği 2009 yılı ortalamasının da</w:t>
      </w:r>
      <w:r w:rsidR="00BB0A28" w:rsidRPr="00535D1C">
        <w:rPr>
          <w:rFonts w:asciiTheme="minorHAnsi" w:hAnsiTheme="minorHAnsi" w:cs="Arial"/>
          <w:b w:val="0"/>
          <w:color w:val="000000" w:themeColor="text1"/>
          <w:sz w:val="24"/>
        </w:rPr>
        <w:t xml:space="preserve"> (-13</w:t>
      </w:r>
      <w:r w:rsidR="005A06C0" w:rsidRPr="00535D1C">
        <w:rPr>
          <w:rFonts w:asciiTheme="minorHAnsi" w:hAnsiTheme="minorHAnsi" w:cs="Arial"/>
          <w:b w:val="0"/>
          <w:color w:val="000000" w:themeColor="text1"/>
          <w:sz w:val="24"/>
        </w:rPr>
        <w:t>,1</w:t>
      </w:r>
      <w:r w:rsidR="00BB0A28" w:rsidRPr="00535D1C">
        <w:rPr>
          <w:rFonts w:asciiTheme="minorHAnsi" w:hAnsiTheme="minorHAnsi" w:cs="Arial"/>
          <w:b w:val="0"/>
          <w:color w:val="000000" w:themeColor="text1"/>
          <w:sz w:val="24"/>
        </w:rPr>
        <w:t xml:space="preserve"> puan) </w:t>
      </w:r>
      <w:r w:rsidR="00D9766B" w:rsidRPr="00535D1C">
        <w:rPr>
          <w:rFonts w:asciiTheme="minorHAnsi" w:hAnsiTheme="minorHAnsi" w:cs="Arial"/>
          <w:b w:val="0"/>
          <w:color w:val="000000" w:themeColor="text1"/>
          <w:sz w:val="24"/>
        </w:rPr>
        <w:t>altında</w:t>
      </w:r>
      <w:r w:rsidR="007069B9" w:rsidRPr="00535D1C">
        <w:rPr>
          <w:rFonts w:asciiTheme="minorHAnsi" w:hAnsiTheme="minorHAnsi" w:cs="Arial"/>
          <w:b w:val="0"/>
          <w:color w:val="000000" w:themeColor="text1"/>
          <w:sz w:val="24"/>
        </w:rPr>
        <w:t xml:space="preserve"> kaldı</w:t>
      </w:r>
      <w:r w:rsidR="00485858" w:rsidRPr="00535D1C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5A06C0">
        <w:rPr>
          <w:rFonts w:asciiTheme="minorHAnsi" w:hAnsiTheme="minorHAnsi" w:cs="Arial"/>
          <w:b w:val="0"/>
          <w:color w:val="000000" w:themeColor="text1"/>
          <w:sz w:val="24"/>
        </w:rPr>
        <w:t xml:space="preserve"> 2018 yılı ikinci</w:t>
      </w:r>
      <w:r w:rsidR="00D75ADF" w:rsidRPr="008D7E3D">
        <w:rPr>
          <w:rFonts w:asciiTheme="minorHAnsi" w:hAnsiTheme="minorHAnsi" w:cs="Arial"/>
          <w:b w:val="0"/>
          <w:color w:val="000000" w:themeColor="text1"/>
          <w:sz w:val="24"/>
        </w:rPr>
        <w:t xml:space="preserve"> çeyreği, perakende endeksinin yıl içinde </w:t>
      </w:r>
      <w:r w:rsidR="00C038B4">
        <w:rPr>
          <w:rFonts w:asciiTheme="minorHAnsi" w:hAnsiTheme="minorHAnsi" w:cs="Arial"/>
          <w:b w:val="0"/>
          <w:color w:val="000000" w:themeColor="text1"/>
          <w:sz w:val="24"/>
        </w:rPr>
        <w:t>en düşük seviyeyi gördüğü</w:t>
      </w:r>
      <w:r w:rsidR="008D7E3D" w:rsidRPr="008D7E3D">
        <w:rPr>
          <w:rFonts w:asciiTheme="minorHAnsi" w:hAnsiTheme="minorHAnsi" w:cs="Arial"/>
          <w:b w:val="0"/>
          <w:color w:val="000000" w:themeColor="text1"/>
          <w:sz w:val="24"/>
        </w:rPr>
        <w:t xml:space="preserve"> dönem olarak belirlendi. </w:t>
      </w:r>
    </w:p>
    <w:p w14:paraId="1947BAE4" w14:textId="77777777" w:rsidR="00E36DF8" w:rsidRPr="00E36DF8" w:rsidRDefault="00E36DF8" w:rsidP="00D840CF">
      <w:pPr>
        <w:spacing w:after="0" w:line="240" w:lineRule="atLeast"/>
      </w:pPr>
    </w:p>
    <w:p w14:paraId="0B6842F1" w14:textId="1235C7BF" w:rsidR="00254707" w:rsidRPr="00254707" w:rsidRDefault="00254707" w:rsidP="00D840CF">
      <w:pPr>
        <w:tabs>
          <w:tab w:val="left" w:pos="8258"/>
        </w:tabs>
        <w:spacing w:after="0" w:line="240" w:lineRule="atLeast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>
        <w:rPr>
          <w:rFonts w:asciiTheme="minorHAnsi" w:hAnsiTheme="minorHAnsi"/>
          <w:b/>
        </w:rPr>
        <w:t>1</w:t>
      </w:r>
      <w:r w:rsidRPr="00662EBC">
        <w:rPr>
          <w:rFonts w:asciiTheme="minorHAnsi" w:hAnsiTheme="minorHAnsi"/>
          <w:b/>
        </w:rPr>
        <w:t>.</w:t>
      </w:r>
      <w:r w:rsidRPr="00662EBC">
        <w:rPr>
          <w:rFonts w:asciiTheme="minorHAnsi" w:hAnsiTheme="minorHAnsi"/>
        </w:rPr>
        <w:t xml:space="preserve"> TEPE</w:t>
      </w:r>
      <w:r w:rsidR="001574E6">
        <w:rPr>
          <w:rFonts w:asciiTheme="minorHAnsi" w:hAnsiTheme="minorHAnsi"/>
        </w:rPr>
        <w:t xml:space="preserve"> yıllık ortalama değerler</w:t>
      </w:r>
      <w:r w:rsidRPr="00662EBC">
        <w:rPr>
          <w:rFonts w:asciiTheme="minorHAnsi" w:hAnsiTheme="minorHAnsi"/>
        </w:rPr>
        <w:t xml:space="preserve"> (</w:t>
      </w:r>
      <w:r w:rsidR="005A06C0">
        <w:rPr>
          <w:rFonts w:asciiTheme="minorHAnsi" w:hAnsiTheme="minorHAnsi"/>
        </w:rPr>
        <w:t>2009-2018</w:t>
      </w:r>
      <w:r w:rsidR="004C2B80">
        <w:rPr>
          <w:rFonts w:asciiTheme="minorHAnsi" w:hAnsiTheme="minorHAnsi"/>
        </w:rPr>
        <w:t>)</w:t>
      </w:r>
      <w:r w:rsidR="004C2B80">
        <w:rPr>
          <w:rStyle w:val="DipnotBavurusu"/>
          <w:rFonts w:asciiTheme="minorHAnsi" w:hAnsiTheme="minorHAnsi"/>
        </w:rPr>
        <w:footnoteReference w:id="1"/>
      </w:r>
    </w:p>
    <w:p w14:paraId="387A715F" w14:textId="32A5D3CA" w:rsidR="00254707" w:rsidRDefault="005A06C0" w:rsidP="009E7875">
      <w:pPr>
        <w:pStyle w:val="Balk2"/>
        <w:spacing w:before="0" w:line="24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>
        <w:rPr>
          <w:noProof/>
          <w:lang w:eastAsia="tr-TR"/>
        </w:rPr>
        <w:drawing>
          <wp:inline distT="0" distB="0" distL="0" distR="0" wp14:anchorId="1EBAC999" wp14:editId="1B2E448A">
            <wp:extent cx="5762625" cy="229552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9BC813" w14:textId="4BDFB2B7" w:rsidR="00AE3DA9" w:rsidRPr="00E36DF8" w:rsidRDefault="0081519F" w:rsidP="00803B50">
      <w:pPr>
        <w:pStyle w:val="Balk2"/>
        <w:spacing w:after="24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 w:val="0"/>
          <w:color w:val="000000" w:themeColor="text1"/>
          <w:sz w:val="24"/>
        </w:rPr>
        <w:t>Önümüzdeki 3 aya</w:t>
      </w:r>
      <w:r w:rsidR="00C16825">
        <w:rPr>
          <w:rFonts w:asciiTheme="minorHAnsi" w:hAnsiTheme="minorHAnsi" w:cs="Arial"/>
          <w:b w:val="0"/>
          <w:color w:val="000000" w:themeColor="text1"/>
          <w:sz w:val="24"/>
        </w:rPr>
        <w:t xml:space="preserve"> ilişkin satış beklentileri 2018 yılında, 2017</w:t>
      </w:r>
      <w:r>
        <w:rPr>
          <w:rFonts w:asciiTheme="minorHAnsi" w:hAnsiTheme="minorHAnsi" w:cs="Arial"/>
          <w:b w:val="0"/>
          <w:color w:val="000000" w:themeColor="text1"/>
          <w:sz w:val="24"/>
        </w:rPr>
        <w:t xml:space="preserve"> yılına </w:t>
      </w:r>
      <w:r w:rsidR="00C168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göre daha iyi</w:t>
      </w:r>
      <w:r w:rsidRPr="00AE74F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performans sergiledi.</w:t>
      </w:r>
      <w:r w:rsidR="00646AF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646AF7">
        <w:rPr>
          <w:rFonts w:asciiTheme="minorHAnsi" w:hAnsiTheme="minorHAnsi" w:cs="Arial"/>
          <w:b w:val="0"/>
          <w:color w:val="000000" w:themeColor="text1"/>
          <w:sz w:val="24"/>
        </w:rPr>
        <w:t>Beklentilerin</w:t>
      </w:r>
      <w:r w:rsidR="00C16825">
        <w:rPr>
          <w:rFonts w:asciiTheme="minorHAnsi" w:hAnsiTheme="minorHAnsi" w:cs="Arial"/>
          <w:b w:val="0"/>
          <w:color w:val="000000" w:themeColor="text1"/>
          <w:sz w:val="24"/>
        </w:rPr>
        <w:t xml:space="preserve"> 2017</w:t>
      </w:r>
      <w:r w:rsidR="00646AF7" w:rsidRPr="0081519F">
        <w:rPr>
          <w:rFonts w:asciiTheme="minorHAnsi" w:hAnsiTheme="minorHAnsi" w:cs="Arial"/>
          <w:b w:val="0"/>
          <w:color w:val="000000" w:themeColor="text1"/>
          <w:sz w:val="24"/>
        </w:rPr>
        <w:t xml:space="preserve"> yılı ortalaması </w:t>
      </w:r>
      <w:r w:rsidR="00C16825">
        <w:rPr>
          <w:rFonts w:asciiTheme="minorHAnsi" w:hAnsiTheme="minorHAnsi" w:cs="Arial"/>
          <w:b w:val="0"/>
          <w:color w:val="000000" w:themeColor="text1"/>
          <w:sz w:val="24"/>
        </w:rPr>
        <w:t>-11,3 puan olurken, 2018</w:t>
      </w:r>
      <w:r w:rsidR="002821A3">
        <w:rPr>
          <w:rFonts w:asciiTheme="minorHAnsi" w:hAnsiTheme="minorHAnsi" w:cs="Arial"/>
          <w:b w:val="0"/>
          <w:color w:val="000000" w:themeColor="text1"/>
          <w:sz w:val="24"/>
        </w:rPr>
        <w:t xml:space="preserve"> y</w:t>
      </w:r>
      <w:r w:rsidR="00C16825">
        <w:rPr>
          <w:rFonts w:asciiTheme="minorHAnsi" w:hAnsiTheme="minorHAnsi" w:cs="Arial"/>
          <w:b w:val="0"/>
          <w:color w:val="000000" w:themeColor="text1"/>
          <w:sz w:val="24"/>
        </w:rPr>
        <w:t>ılı ortalaması -7,4</w:t>
      </w:r>
      <w:r w:rsidR="00646AF7">
        <w:rPr>
          <w:rFonts w:asciiTheme="minorHAnsi" w:hAnsiTheme="minorHAnsi" w:cs="Arial"/>
          <w:b w:val="0"/>
          <w:color w:val="000000" w:themeColor="text1"/>
          <w:sz w:val="24"/>
        </w:rPr>
        <w:t xml:space="preserve"> puan oldu. </w:t>
      </w:r>
      <w:r w:rsidR="00646AF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Ç</w:t>
      </w:r>
      <w:r w:rsidRPr="00AE74F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eyreklik frekansta incelend</w:t>
      </w:r>
      <w:r w:rsidR="005B553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iğinde</w:t>
      </w:r>
      <w:r w:rsidR="00646AF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ise</w:t>
      </w:r>
      <w:r w:rsidR="00C168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 2018 son çeyreğinin 2017</w:t>
      </w:r>
      <w:r w:rsidR="005B553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y</w:t>
      </w:r>
      <w:r w:rsidR="00C168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ılı son çeyreğine göre daha düşük</w:t>
      </w:r>
      <w:r w:rsidRPr="00AE74F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567113" w:rsidRPr="00AE74F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değer aldığı görüldü.</w:t>
      </w:r>
    </w:p>
    <w:p w14:paraId="6E97033E" w14:textId="080354D1" w:rsidR="00854A5C" w:rsidRPr="00AE74F2" w:rsidRDefault="00C16825" w:rsidP="00300863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Perakende sektörü için 2018 yılı, 2017 yılına göre iş hacminin daha iyi</w:t>
      </w:r>
      <w:r w:rsidR="00567113" w:rsidRPr="00AE74F2">
        <w:rPr>
          <w:rFonts w:asciiTheme="minorHAnsi" w:hAnsiTheme="minorHAnsi" w:cstheme="minorHAnsi"/>
          <w:sz w:val="24"/>
          <w:szCs w:val="24"/>
        </w:rPr>
        <w:t xml:space="preserve"> olduğu bir yıl oldu. Geçen yıla göre işlerin durumun</w:t>
      </w:r>
      <w:r w:rsidR="00AE74F2">
        <w:rPr>
          <w:rFonts w:asciiTheme="minorHAnsi" w:hAnsiTheme="minorHAnsi" w:cstheme="minorHAnsi"/>
          <w:sz w:val="24"/>
          <w:szCs w:val="24"/>
        </w:rPr>
        <w:t>a dair alt en</w:t>
      </w:r>
      <w:r>
        <w:rPr>
          <w:rFonts w:asciiTheme="minorHAnsi" w:hAnsiTheme="minorHAnsi" w:cstheme="minorHAnsi"/>
          <w:sz w:val="24"/>
          <w:szCs w:val="24"/>
        </w:rPr>
        <w:t>deks değerinin 2017</w:t>
      </w:r>
      <w:r w:rsidR="00567113" w:rsidRPr="00AE74F2">
        <w:rPr>
          <w:rFonts w:asciiTheme="minorHAnsi" w:hAnsiTheme="minorHAnsi" w:cstheme="minorHAnsi"/>
          <w:sz w:val="24"/>
          <w:szCs w:val="24"/>
        </w:rPr>
        <w:t xml:space="preserve"> yılı ortalaması</w:t>
      </w:r>
      <w:r>
        <w:rPr>
          <w:rFonts w:asciiTheme="minorHAnsi" w:hAnsiTheme="minorHAnsi" w:cstheme="minorHAnsi"/>
          <w:sz w:val="24"/>
          <w:szCs w:val="24"/>
        </w:rPr>
        <w:t xml:space="preserve"> -40,3 puan olurken, 2018 yılı ortalaması -36,0</w:t>
      </w:r>
      <w:r w:rsidR="00AE74F2">
        <w:rPr>
          <w:rFonts w:asciiTheme="minorHAnsi" w:hAnsiTheme="minorHAnsi" w:cstheme="minorHAnsi"/>
          <w:sz w:val="24"/>
          <w:szCs w:val="24"/>
        </w:rPr>
        <w:t xml:space="preserve"> puan oldu. </w:t>
      </w:r>
      <w:r w:rsidR="00AE3DA9">
        <w:rPr>
          <w:rFonts w:asciiTheme="minorHAnsi" w:hAnsiTheme="minorHAnsi" w:cstheme="minorHAnsi"/>
          <w:sz w:val="24"/>
          <w:szCs w:val="24"/>
        </w:rPr>
        <w:t>Endeks</w:t>
      </w:r>
      <w:r w:rsidR="00AE74F2" w:rsidRPr="00AE74F2">
        <w:rPr>
          <w:rFonts w:asciiTheme="minorHAnsi" w:hAnsiTheme="minorHAnsi" w:cstheme="minorHAnsi"/>
          <w:sz w:val="24"/>
          <w:szCs w:val="24"/>
        </w:rPr>
        <w:t xml:space="preserve"> çeyreklik frekansta ele alındığında </w:t>
      </w:r>
      <w:r w:rsidR="00854A5C">
        <w:rPr>
          <w:rFonts w:asciiTheme="minorHAnsi" w:hAnsiTheme="minorHAnsi" w:cstheme="minorHAnsi"/>
          <w:sz w:val="24"/>
          <w:szCs w:val="24"/>
        </w:rPr>
        <w:t xml:space="preserve">da, </w:t>
      </w:r>
      <w:r w:rsidR="00AE74F2" w:rsidRPr="00AE74F2">
        <w:rPr>
          <w:rFonts w:asciiTheme="minorHAnsi" w:hAnsiTheme="minorHAnsi" w:cstheme="minorHAnsi"/>
          <w:sz w:val="24"/>
          <w:szCs w:val="24"/>
        </w:rPr>
        <w:t>ilgili soruya verilen</w:t>
      </w:r>
      <w:r w:rsidR="00EC2F4C">
        <w:rPr>
          <w:rFonts w:asciiTheme="minorHAnsi" w:hAnsiTheme="minorHAnsi" w:cstheme="minorHAnsi"/>
          <w:sz w:val="24"/>
          <w:szCs w:val="24"/>
        </w:rPr>
        <w:t xml:space="preserve"> yanıtların denge değerinin 2018 yılının son </w:t>
      </w:r>
      <w:r w:rsidR="00CC5C56">
        <w:rPr>
          <w:rFonts w:asciiTheme="minorHAnsi" w:hAnsiTheme="minorHAnsi" w:cstheme="minorHAnsi"/>
          <w:sz w:val="24"/>
          <w:szCs w:val="24"/>
        </w:rPr>
        <w:t>çeyreğinin 201</w:t>
      </w:r>
      <w:r w:rsidR="00EC2F4C">
        <w:rPr>
          <w:rFonts w:asciiTheme="minorHAnsi" w:hAnsiTheme="minorHAnsi" w:cstheme="minorHAnsi"/>
          <w:sz w:val="24"/>
          <w:szCs w:val="24"/>
        </w:rPr>
        <w:t>7</w:t>
      </w:r>
      <w:r w:rsidR="00AE74F2" w:rsidRPr="00AE74F2">
        <w:rPr>
          <w:rFonts w:asciiTheme="minorHAnsi" w:hAnsiTheme="minorHAnsi" w:cstheme="minorHAnsi"/>
          <w:sz w:val="24"/>
          <w:szCs w:val="24"/>
        </w:rPr>
        <w:t xml:space="preserve"> yılının </w:t>
      </w:r>
      <w:r w:rsidR="00AE74F2">
        <w:rPr>
          <w:rFonts w:asciiTheme="minorHAnsi" w:hAnsiTheme="minorHAnsi" w:cstheme="minorHAnsi"/>
          <w:sz w:val="24"/>
          <w:szCs w:val="24"/>
        </w:rPr>
        <w:t>altında</w:t>
      </w:r>
      <w:r w:rsidR="00AE74F2" w:rsidRPr="00AE74F2">
        <w:rPr>
          <w:rFonts w:asciiTheme="minorHAnsi" w:hAnsiTheme="minorHAnsi" w:cstheme="minorHAnsi"/>
          <w:sz w:val="24"/>
          <w:szCs w:val="24"/>
        </w:rPr>
        <w:t xml:space="preserve"> olduğu görüldü</w:t>
      </w:r>
      <w:r w:rsidR="00AE74F2">
        <w:rPr>
          <w:rFonts w:asciiTheme="minorHAnsi" w:hAnsiTheme="minorHAnsi" w:cstheme="minorHAnsi"/>
          <w:sz w:val="24"/>
          <w:szCs w:val="24"/>
        </w:rPr>
        <w:t>.</w:t>
      </w:r>
    </w:p>
    <w:p w14:paraId="5C1FBFD1" w14:textId="7BA874FE" w:rsidR="00795AA3" w:rsidRDefault="00CF224F" w:rsidP="00C8249B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="00795AA3" w:rsidRPr="004054CB">
        <w:rPr>
          <w:rFonts w:asciiTheme="minorHAnsi" w:hAnsiTheme="minorHAnsi" w:cs="Arial"/>
          <w:color w:val="0070C0"/>
          <w:sz w:val="28"/>
        </w:rPr>
        <w:t xml:space="preserve">Perakende güveni </w:t>
      </w:r>
      <w:r w:rsidR="00795AA3">
        <w:rPr>
          <w:rFonts w:asciiTheme="minorHAnsi" w:hAnsiTheme="minorHAnsi" w:cs="Arial"/>
          <w:color w:val="0070C0"/>
          <w:sz w:val="28"/>
        </w:rPr>
        <w:t>yılın son ayında da negatifte kaldı</w:t>
      </w:r>
      <w:r w:rsidR="00795AA3" w:rsidRPr="00481C27" w:rsidDel="00795AA3">
        <w:rPr>
          <w:rFonts w:asciiTheme="minorHAnsi" w:hAnsiTheme="minorHAnsi" w:cs="Arial"/>
          <w:color w:val="0070C0"/>
          <w:sz w:val="28"/>
        </w:rPr>
        <w:t xml:space="preserve"> </w:t>
      </w:r>
    </w:p>
    <w:p w14:paraId="5786BE42" w14:textId="34DFCAF8" w:rsidR="00C8249B" w:rsidRDefault="00481C27" w:rsidP="002B1ADD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481C27">
        <w:rPr>
          <w:rFonts w:asciiTheme="minorHAnsi" w:hAnsiTheme="minorHAnsi" w:cs="Arial"/>
          <w:b w:val="0"/>
          <w:color w:val="0070C0"/>
          <w:sz w:val="24"/>
        </w:rPr>
        <w:t>Mevsimsellikten</w:t>
      </w:r>
      <w:r>
        <w:rPr>
          <w:rFonts w:asciiTheme="minorHAnsi" w:hAnsiTheme="minorHAnsi" w:cs="Arial"/>
          <w:b w:val="0"/>
          <w:color w:val="0070C0"/>
          <w:sz w:val="24"/>
        </w:rPr>
        <w:t xml:space="preserve"> arındırılmış TEPE değerleri aylar itibari ile incelend</w:t>
      </w:r>
      <w:r w:rsidR="002B1ADD">
        <w:rPr>
          <w:rFonts w:asciiTheme="minorHAnsi" w:hAnsiTheme="minorHAnsi" w:cs="Arial"/>
          <w:b w:val="0"/>
          <w:color w:val="0070C0"/>
          <w:sz w:val="24"/>
        </w:rPr>
        <w:t>iğinde, endeks değerlerinin 2018</w:t>
      </w:r>
      <w:r>
        <w:rPr>
          <w:rFonts w:asciiTheme="minorHAnsi" w:hAnsiTheme="minorHAnsi" w:cs="Arial"/>
          <w:b w:val="0"/>
          <w:color w:val="0070C0"/>
          <w:sz w:val="24"/>
        </w:rPr>
        <w:t xml:space="preserve"> yılı </w:t>
      </w:r>
      <w:r w:rsidR="002B1ADD">
        <w:rPr>
          <w:rFonts w:asciiTheme="minorHAnsi" w:hAnsiTheme="minorHAnsi" w:cs="Arial"/>
          <w:b w:val="0"/>
          <w:color w:val="0070C0"/>
          <w:sz w:val="24"/>
        </w:rPr>
        <w:t xml:space="preserve">Mayıs, </w:t>
      </w:r>
      <w:r w:rsidR="00AD2048">
        <w:rPr>
          <w:rFonts w:asciiTheme="minorHAnsi" w:hAnsiTheme="minorHAnsi" w:cs="Arial"/>
          <w:b w:val="0"/>
          <w:color w:val="0070C0"/>
          <w:sz w:val="24"/>
        </w:rPr>
        <w:t>Ekim</w:t>
      </w:r>
      <w:r w:rsidR="000847F7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2B1ADD">
        <w:rPr>
          <w:rFonts w:asciiTheme="minorHAnsi" w:hAnsiTheme="minorHAnsi" w:cs="Arial"/>
          <w:b w:val="0"/>
          <w:color w:val="0070C0"/>
          <w:sz w:val="24"/>
        </w:rPr>
        <w:t>Kasım</w:t>
      </w:r>
      <w:r w:rsidR="006C5BA6">
        <w:rPr>
          <w:rFonts w:asciiTheme="minorHAnsi" w:hAnsiTheme="minorHAnsi" w:cs="Arial"/>
          <w:b w:val="0"/>
          <w:color w:val="0070C0"/>
          <w:sz w:val="24"/>
        </w:rPr>
        <w:t xml:space="preserve"> ayları dışında</w:t>
      </w:r>
      <w:r w:rsidR="00105A9E">
        <w:rPr>
          <w:rFonts w:asciiTheme="minorHAnsi" w:hAnsiTheme="minorHAnsi" w:cs="Arial"/>
          <w:b w:val="0"/>
          <w:color w:val="0070C0"/>
          <w:sz w:val="24"/>
        </w:rPr>
        <w:t xml:space="preserve"> 201</w:t>
      </w:r>
      <w:r w:rsidR="002B1ADD">
        <w:rPr>
          <w:rFonts w:asciiTheme="minorHAnsi" w:hAnsiTheme="minorHAnsi" w:cs="Arial"/>
          <w:b w:val="0"/>
          <w:color w:val="0070C0"/>
          <w:sz w:val="24"/>
        </w:rPr>
        <w:t>7</w:t>
      </w:r>
      <w:r w:rsidR="00105A9E">
        <w:rPr>
          <w:rFonts w:asciiTheme="minorHAnsi" w:hAnsiTheme="minorHAnsi" w:cs="Arial"/>
          <w:b w:val="0"/>
          <w:color w:val="0070C0"/>
          <w:sz w:val="24"/>
        </w:rPr>
        <w:t xml:space="preserve"> yılının aynı dönemlerine</w:t>
      </w:r>
      <w:r w:rsidR="002B1ADD">
        <w:rPr>
          <w:rFonts w:asciiTheme="minorHAnsi" w:hAnsiTheme="minorHAnsi" w:cs="Arial"/>
          <w:b w:val="0"/>
          <w:color w:val="0070C0"/>
          <w:sz w:val="24"/>
        </w:rPr>
        <w:t xml:space="preserve"> göre daha yüksek olduğu görüldü. </w:t>
      </w:r>
      <w:proofErr w:type="spellStart"/>
      <w:r w:rsidR="002B1ADD">
        <w:rPr>
          <w:rFonts w:asciiTheme="minorHAnsi" w:hAnsiTheme="minorHAnsi" w:cs="Arial"/>
          <w:b w:val="0"/>
          <w:color w:val="0070C0"/>
          <w:sz w:val="24"/>
        </w:rPr>
        <w:t>TEPE’nin</w:t>
      </w:r>
      <w:proofErr w:type="spellEnd"/>
      <w:r w:rsidR="002B1ADD">
        <w:rPr>
          <w:rFonts w:asciiTheme="minorHAnsi" w:hAnsiTheme="minorHAnsi" w:cs="Arial"/>
          <w:b w:val="0"/>
          <w:color w:val="0070C0"/>
          <w:sz w:val="24"/>
        </w:rPr>
        <w:t xml:space="preserve"> 2018 yılı ortalaması -13,7</w:t>
      </w:r>
      <w:r w:rsidR="00105A9E">
        <w:rPr>
          <w:rFonts w:asciiTheme="minorHAnsi" w:hAnsiTheme="minorHAnsi" w:cs="Arial"/>
          <w:b w:val="0"/>
          <w:color w:val="0070C0"/>
          <w:sz w:val="24"/>
        </w:rPr>
        <w:t xml:space="preserve"> puan </w:t>
      </w:r>
      <w:r w:rsidR="000847F7">
        <w:rPr>
          <w:rFonts w:asciiTheme="minorHAnsi" w:hAnsiTheme="minorHAnsi" w:cs="Arial"/>
          <w:b w:val="0"/>
          <w:color w:val="0070C0"/>
          <w:sz w:val="24"/>
        </w:rPr>
        <w:t>iken, 2017 yılı ortalaması</w:t>
      </w:r>
      <w:r w:rsidR="002B1ADD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847F7">
        <w:rPr>
          <w:rFonts w:asciiTheme="minorHAnsi" w:hAnsiTheme="minorHAnsi" w:cs="Arial"/>
          <w:b w:val="0"/>
          <w:color w:val="0070C0"/>
          <w:sz w:val="24"/>
        </w:rPr>
        <w:t xml:space="preserve">-17,1 </w:t>
      </w:r>
      <w:r w:rsidR="00105A9E">
        <w:rPr>
          <w:rFonts w:asciiTheme="minorHAnsi" w:hAnsiTheme="minorHAnsi" w:cs="Arial"/>
          <w:b w:val="0"/>
          <w:color w:val="0070C0"/>
          <w:sz w:val="24"/>
        </w:rPr>
        <w:t>puan old</w:t>
      </w:r>
      <w:r w:rsidR="002B1ADD">
        <w:rPr>
          <w:rFonts w:asciiTheme="minorHAnsi" w:hAnsiTheme="minorHAnsi" w:cs="Arial"/>
          <w:b w:val="0"/>
          <w:color w:val="0070C0"/>
          <w:sz w:val="24"/>
        </w:rPr>
        <w:t>u. Perakende sektörü güveni 2018 yılında 2017</w:t>
      </w:r>
      <w:r w:rsidR="00105A9E">
        <w:rPr>
          <w:rFonts w:asciiTheme="minorHAnsi" w:hAnsiTheme="minorHAnsi" w:cs="Arial"/>
          <w:b w:val="0"/>
          <w:color w:val="0070C0"/>
          <w:sz w:val="24"/>
        </w:rPr>
        <w:t xml:space="preserve"> yılına göre </w:t>
      </w:r>
      <w:r w:rsidR="006C5BA6">
        <w:rPr>
          <w:rFonts w:asciiTheme="minorHAnsi" w:hAnsiTheme="minorHAnsi" w:cs="Arial"/>
          <w:b w:val="0"/>
          <w:color w:val="0070C0"/>
          <w:sz w:val="24"/>
        </w:rPr>
        <w:t xml:space="preserve">ortalamada </w:t>
      </w:r>
      <w:r w:rsidR="002B1ADD">
        <w:rPr>
          <w:rFonts w:asciiTheme="minorHAnsi" w:hAnsiTheme="minorHAnsi" w:cs="Arial"/>
          <w:b w:val="0"/>
          <w:color w:val="0070C0"/>
          <w:sz w:val="24"/>
        </w:rPr>
        <w:t>daha iyi</w:t>
      </w:r>
      <w:r w:rsidR="00105A9E">
        <w:rPr>
          <w:rFonts w:asciiTheme="minorHAnsi" w:hAnsiTheme="minorHAnsi" w:cs="Arial"/>
          <w:b w:val="0"/>
          <w:color w:val="0070C0"/>
          <w:sz w:val="24"/>
        </w:rPr>
        <w:t xml:space="preserve"> bir performans sergiledi.</w:t>
      </w:r>
      <w:r w:rsidR="00795AA3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2A8DEA55" w14:textId="77777777" w:rsidR="00795AA3" w:rsidRPr="00477A2B" w:rsidRDefault="00795AA3" w:rsidP="00477A2B">
      <w:pPr>
        <w:rPr>
          <w:b/>
        </w:rPr>
      </w:pPr>
    </w:p>
    <w:p w14:paraId="628BDC43" w14:textId="674EAE27" w:rsidR="00795AA3" w:rsidRDefault="00795AA3" w:rsidP="00795AA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Aralık</w:t>
      </w:r>
      <w:r w:rsidRPr="001F41B6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F920CE">
        <w:rPr>
          <w:rFonts w:asciiTheme="minorHAnsi" w:hAnsiTheme="minorHAnsi" w:cs="Arial"/>
          <w:b w:val="0"/>
          <w:color w:val="0070C0"/>
          <w:sz w:val="24"/>
        </w:rPr>
        <w:t xml:space="preserve"> -8,6</w:t>
      </w:r>
      <w:r w:rsidRPr="001F41B6">
        <w:rPr>
          <w:rFonts w:asciiTheme="minorHAnsi" w:hAnsiTheme="minorHAnsi" w:cs="Arial"/>
          <w:b w:val="0"/>
          <w:color w:val="0070C0"/>
          <w:sz w:val="24"/>
        </w:rPr>
        <w:t xml:space="preserve"> puan değerini alan TEPE, bir önceki aya göre </w:t>
      </w:r>
      <w:r w:rsidR="0081647D">
        <w:rPr>
          <w:rFonts w:asciiTheme="minorHAnsi" w:hAnsiTheme="minorHAnsi" w:cs="Arial"/>
          <w:b w:val="0"/>
          <w:color w:val="0070C0"/>
          <w:sz w:val="24"/>
        </w:rPr>
        <w:t>7,5</w:t>
      </w:r>
      <w:r w:rsidRPr="001F41B6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0847F7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Pr="001F41B6">
        <w:rPr>
          <w:rFonts w:asciiTheme="minorHAnsi" w:hAnsiTheme="minorHAnsi" w:cs="Arial"/>
          <w:b w:val="0"/>
          <w:color w:val="0070C0"/>
          <w:sz w:val="24"/>
        </w:rPr>
        <w:t>geçen yılın aynı dönemine göre</w:t>
      </w:r>
      <w:r w:rsidR="00F920CE">
        <w:rPr>
          <w:rFonts w:asciiTheme="minorHAnsi" w:hAnsiTheme="minorHAnsi" w:cs="Arial"/>
          <w:b w:val="0"/>
          <w:color w:val="0070C0"/>
          <w:sz w:val="24"/>
        </w:rPr>
        <w:t xml:space="preserve"> 7,3</w:t>
      </w:r>
      <w:r w:rsidR="000847F7">
        <w:rPr>
          <w:rFonts w:asciiTheme="minorHAnsi" w:hAnsiTheme="minorHAnsi" w:cs="Arial"/>
          <w:b w:val="0"/>
          <w:color w:val="0070C0"/>
          <w:sz w:val="24"/>
        </w:rPr>
        <w:t xml:space="preserve"> puan arttı</w:t>
      </w:r>
      <w:r w:rsidRPr="001F41B6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Pr="007801A8">
        <w:rPr>
          <w:rFonts w:asciiTheme="minorHAnsi" w:hAnsiTheme="minorHAnsi" w:cs="Arial"/>
          <w:b w:val="0"/>
          <w:color w:val="0070C0"/>
          <w:sz w:val="24"/>
        </w:rPr>
        <w:t xml:space="preserve">TEPE değerinin geçen aya </w:t>
      </w:r>
      <w:r w:rsidR="000847F7">
        <w:rPr>
          <w:rFonts w:asciiTheme="minorHAnsi" w:hAnsiTheme="minorHAnsi" w:cs="Arial"/>
          <w:b w:val="0"/>
          <w:color w:val="0070C0"/>
          <w:sz w:val="24"/>
        </w:rPr>
        <w:t xml:space="preserve">ve geçen yıla göre artmasında, </w:t>
      </w:r>
      <w:r w:rsidRPr="007801A8">
        <w:rPr>
          <w:rFonts w:asciiTheme="minorHAnsi" w:hAnsiTheme="minorHAnsi" w:cs="Arial"/>
          <w:b w:val="0"/>
          <w:color w:val="0070C0"/>
          <w:sz w:val="24"/>
        </w:rPr>
        <w:t xml:space="preserve">hem geçtiğimiz üç ayda işlerin gelişimi hem de önümüzdeki 3 ayda satış beklentisi göstergelerindeki </w:t>
      </w:r>
      <w:r w:rsidR="000847F7">
        <w:rPr>
          <w:rFonts w:asciiTheme="minorHAnsi" w:hAnsiTheme="minorHAnsi" w:cs="Arial"/>
          <w:b w:val="0"/>
          <w:color w:val="0070C0"/>
          <w:sz w:val="24"/>
        </w:rPr>
        <w:t>iyileşme</w:t>
      </w:r>
      <w:r w:rsidRPr="007801A8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etkili</w:t>
      </w:r>
      <w:r w:rsidRPr="007801A8">
        <w:rPr>
          <w:rFonts w:asciiTheme="minorHAnsi" w:hAnsiTheme="minorHAnsi" w:cs="Arial"/>
          <w:b w:val="0"/>
          <w:color w:val="0070C0"/>
          <w:sz w:val="24"/>
        </w:rPr>
        <w:t xml:space="preserve"> oldu. TEPE</w:t>
      </w:r>
      <w:r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920CE">
        <w:rPr>
          <w:rFonts w:asciiTheme="minorHAnsi" w:hAnsiTheme="minorHAnsi" w:cs="Arial"/>
          <w:b w:val="0"/>
          <w:color w:val="0070C0"/>
          <w:sz w:val="24"/>
        </w:rPr>
        <w:t>2018</w:t>
      </w:r>
      <w:r w:rsidRPr="007801A8">
        <w:rPr>
          <w:rFonts w:asciiTheme="minorHAnsi" w:hAnsiTheme="minorHAnsi" w:cs="Arial"/>
          <w:b w:val="0"/>
          <w:color w:val="0070C0"/>
          <w:sz w:val="24"/>
        </w:rPr>
        <w:t xml:space="preserve"> yılını ü</w:t>
      </w:r>
      <w:r w:rsidR="000847F7">
        <w:rPr>
          <w:rFonts w:asciiTheme="minorHAnsi" w:hAnsiTheme="minorHAnsi" w:cs="Arial"/>
          <w:b w:val="0"/>
          <w:color w:val="0070C0"/>
          <w:sz w:val="24"/>
        </w:rPr>
        <w:t>st üste 12</w:t>
      </w:r>
      <w:r w:rsidRPr="007801A8">
        <w:rPr>
          <w:rFonts w:asciiTheme="minorHAnsi" w:hAnsiTheme="minorHAnsi" w:cs="Arial"/>
          <w:b w:val="0"/>
          <w:color w:val="0070C0"/>
          <w:sz w:val="24"/>
        </w:rPr>
        <w:t xml:space="preserve"> ay negatif değer alarak tamamladı.</w:t>
      </w:r>
    </w:p>
    <w:p w14:paraId="08E04A93" w14:textId="77777777" w:rsidR="00795AA3" w:rsidRPr="00477A2B" w:rsidRDefault="00795AA3" w:rsidP="00477A2B">
      <w:pPr>
        <w:rPr>
          <w:b/>
        </w:rPr>
      </w:pPr>
    </w:p>
    <w:p w14:paraId="48D326A5" w14:textId="3CA81A8C" w:rsidR="00C8249B" w:rsidRPr="00C8249B" w:rsidRDefault="00C8249B" w:rsidP="00C8249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795AA3">
        <w:rPr>
          <w:rFonts w:asciiTheme="minorHAnsi" w:hAnsiTheme="minorHAnsi"/>
          <w:b/>
        </w:rPr>
        <w:t>2</w:t>
      </w:r>
      <w:r w:rsidRPr="00662EBC">
        <w:rPr>
          <w:rFonts w:asciiTheme="minorHAnsi" w:hAnsiTheme="minorHAnsi"/>
          <w:b/>
        </w:rPr>
        <w:t xml:space="preserve">. </w:t>
      </w:r>
      <w:r w:rsidR="009B0555">
        <w:rPr>
          <w:rFonts w:asciiTheme="minorHAnsi" w:hAnsiTheme="minorHAnsi"/>
        </w:rPr>
        <w:t>TEPE</w:t>
      </w:r>
      <w:r w:rsidRPr="00662EBC">
        <w:rPr>
          <w:noProof/>
          <w:lang w:eastAsia="tr-TR"/>
        </w:rPr>
        <w:t xml:space="preserve"> </w:t>
      </w:r>
      <w:r>
        <w:rPr>
          <w:rFonts w:asciiTheme="minorHAnsi" w:hAnsiTheme="minorHAnsi"/>
        </w:rPr>
        <w:t>(</w:t>
      </w:r>
      <w:r w:rsidR="009B0555">
        <w:rPr>
          <w:rFonts w:asciiTheme="minorHAnsi" w:hAnsiTheme="minorHAnsi"/>
        </w:rPr>
        <w:t xml:space="preserve">Ocak – </w:t>
      </w:r>
      <w:r>
        <w:rPr>
          <w:rFonts w:asciiTheme="minorHAnsi" w:hAnsiTheme="minorHAnsi"/>
        </w:rPr>
        <w:t>Aralık</w:t>
      </w:r>
      <w:r w:rsidR="009B0555">
        <w:rPr>
          <w:rFonts w:asciiTheme="minorHAnsi" w:hAnsiTheme="minorHAnsi"/>
        </w:rPr>
        <w:t>;</w:t>
      </w:r>
      <w:r w:rsidR="00F920CE">
        <w:rPr>
          <w:rFonts w:asciiTheme="minorHAnsi" w:hAnsiTheme="minorHAnsi"/>
        </w:rPr>
        <w:t xml:space="preserve"> 2017</w:t>
      </w:r>
      <w:r w:rsidR="009B0555">
        <w:rPr>
          <w:rFonts w:asciiTheme="minorHAnsi" w:hAnsiTheme="minorHAnsi"/>
        </w:rPr>
        <w:t xml:space="preserve"> –</w:t>
      </w:r>
      <w:r w:rsidR="00F920CE">
        <w:rPr>
          <w:rFonts w:asciiTheme="minorHAnsi" w:hAnsiTheme="minorHAnsi"/>
        </w:rPr>
        <w:t xml:space="preserve"> 2018</w:t>
      </w:r>
      <w:r w:rsidRPr="00662EBC">
        <w:rPr>
          <w:rFonts w:asciiTheme="minorHAnsi" w:hAnsiTheme="minorHAnsi"/>
        </w:rPr>
        <w:t>)</w:t>
      </w:r>
    </w:p>
    <w:p w14:paraId="612DD680" w14:textId="44A9B9EC" w:rsidR="00DE45A7" w:rsidRPr="00DE45A7" w:rsidRDefault="00F920CE" w:rsidP="00DE45A7">
      <w:r>
        <w:rPr>
          <w:noProof/>
          <w:lang w:eastAsia="tr-TR"/>
        </w:rPr>
        <w:drawing>
          <wp:inline distT="0" distB="0" distL="0" distR="0" wp14:anchorId="3E4E5DE3" wp14:editId="5451336E">
            <wp:extent cx="5759450" cy="2608412"/>
            <wp:effectExtent l="0" t="0" r="12700" b="2095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BF9089" w14:textId="77777777" w:rsidR="00795AA3" w:rsidRPr="003127E7" w:rsidRDefault="00795AA3" w:rsidP="00795AA3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Tablo-1.</w:t>
      </w:r>
      <w:r>
        <w:rPr>
          <w:rFonts w:asciiTheme="minorHAnsi" w:hAnsiTheme="minorHAnsi"/>
        </w:rPr>
        <w:t xml:space="preserve"> TEPE, Aylık Seri</w:t>
      </w:r>
    </w:p>
    <w:tbl>
      <w:tblPr>
        <w:tblStyle w:val="OrtaKlavuz3-Vurgu1"/>
        <w:tblW w:w="10475" w:type="dxa"/>
        <w:jc w:val="center"/>
        <w:tblLook w:val="04A0" w:firstRow="1" w:lastRow="0" w:firstColumn="1" w:lastColumn="0" w:noHBand="0" w:noVBand="1"/>
      </w:tblPr>
      <w:tblGrid>
        <w:gridCol w:w="680"/>
        <w:gridCol w:w="705"/>
        <w:gridCol w:w="806"/>
        <w:gridCol w:w="691"/>
        <w:gridCol w:w="777"/>
        <w:gridCol w:w="789"/>
        <w:gridCol w:w="950"/>
        <w:gridCol w:w="1038"/>
        <w:gridCol w:w="1027"/>
        <w:gridCol w:w="713"/>
        <w:gridCol w:w="713"/>
        <w:gridCol w:w="832"/>
        <w:gridCol w:w="754"/>
      </w:tblGrid>
      <w:tr w:rsidR="00795AA3" w:rsidRPr="003127E7" w14:paraId="3E9FF24B" w14:textId="77777777" w:rsidTr="0079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1F18A40D" w14:textId="77777777" w:rsidR="00795AA3" w:rsidRPr="003127E7" w:rsidRDefault="00795AA3" w:rsidP="00795AA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0F5A36C1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6" w:type="dxa"/>
            <w:noWrap/>
            <w:vAlign w:val="center"/>
            <w:hideMark/>
          </w:tcPr>
          <w:p w14:paraId="12F34E27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691" w:type="dxa"/>
            <w:noWrap/>
            <w:vAlign w:val="center"/>
            <w:hideMark/>
          </w:tcPr>
          <w:p w14:paraId="1B09DEF3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777" w:type="dxa"/>
            <w:noWrap/>
            <w:vAlign w:val="center"/>
            <w:hideMark/>
          </w:tcPr>
          <w:p w14:paraId="64BACD44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89" w:type="dxa"/>
            <w:noWrap/>
            <w:vAlign w:val="center"/>
            <w:hideMark/>
          </w:tcPr>
          <w:p w14:paraId="6D61A45C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50" w:type="dxa"/>
            <w:noWrap/>
            <w:vAlign w:val="center"/>
            <w:hideMark/>
          </w:tcPr>
          <w:p w14:paraId="55EB4486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38" w:type="dxa"/>
            <w:noWrap/>
            <w:vAlign w:val="center"/>
            <w:hideMark/>
          </w:tcPr>
          <w:p w14:paraId="3DB0A01F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27" w:type="dxa"/>
            <w:noWrap/>
            <w:vAlign w:val="center"/>
            <w:hideMark/>
          </w:tcPr>
          <w:p w14:paraId="3BFB9E21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13" w:type="dxa"/>
            <w:noWrap/>
            <w:vAlign w:val="center"/>
            <w:hideMark/>
          </w:tcPr>
          <w:p w14:paraId="3EEE1BCC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13" w:type="dxa"/>
            <w:noWrap/>
            <w:vAlign w:val="center"/>
            <w:hideMark/>
          </w:tcPr>
          <w:p w14:paraId="4FAD49B5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32" w:type="dxa"/>
            <w:noWrap/>
            <w:vAlign w:val="center"/>
            <w:hideMark/>
          </w:tcPr>
          <w:p w14:paraId="45F19479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54" w:type="dxa"/>
            <w:noWrap/>
            <w:vAlign w:val="center"/>
            <w:hideMark/>
          </w:tcPr>
          <w:p w14:paraId="5FD9B920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F920CE" w:rsidRPr="005430E8" w14:paraId="24655880" w14:textId="77777777" w:rsidTr="007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191EEFC8" w14:textId="65083997" w:rsidR="00F920CE" w:rsidRPr="003127E7" w:rsidRDefault="00F920CE" w:rsidP="00795AA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2016</w:t>
            </w:r>
          </w:p>
        </w:tc>
        <w:tc>
          <w:tcPr>
            <w:tcW w:w="705" w:type="dxa"/>
            <w:noWrap/>
            <w:vAlign w:val="bottom"/>
            <w:hideMark/>
          </w:tcPr>
          <w:p w14:paraId="52E1788A" w14:textId="2681C70B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806" w:type="dxa"/>
            <w:noWrap/>
            <w:vAlign w:val="bottom"/>
            <w:hideMark/>
          </w:tcPr>
          <w:p w14:paraId="2EDA1868" w14:textId="17CD737D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-7,8</w:t>
            </w:r>
          </w:p>
        </w:tc>
        <w:tc>
          <w:tcPr>
            <w:tcW w:w="691" w:type="dxa"/>
            <w:noWrap/>
            <w:vAlign w:val="bottom"/>
            <w:hideMark/>
          </w:tcPr>
          <w:p w14:paraId="7FE71230" w14:textId="4ED5CC97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-11,9</w:t>
            </w:r>
          </w:p>
        </w:tc>
        <w:tc>
          <w:tcPr>
            <w:tcW w:w="777" w:type="dxa"/>
            <w:noWrap/>
            <w:vAlign w:val="bottom"/>
            <w:hideMark/>
          </w:tcPr>
          <w:p w14:paraId="5EB1B56B" w14:textId="2A97B3BF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-5,0</w:t>
            </w:r>
          </w:p>
        </w:tc>
        <w:tc>
          <w:tcPr>
            <w:tcW w:w="789" w:type="dxa"/>
            <w:noWrap/>
            <w:vAlign w:val="bottom"/>
            <w:hideMark/>
          </w:tcPr>
          <w:p w14:paraId="6289BEFB" w14:textId="1B1D6840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-10,4</w:t>
            </w:r>
          </w:p>
        </w:tc>
        <w:tc>
          <w:tcPr>
            <w:tcW w:w="950" w:type="dxa"/>
            <w:noWrap/>
            <w:vAlign w:val="bottom"/>
            <w:hideMark/>
          </w:tcPr>
          <w:p w14:paraId="59709FB7" w14:textId="59EB31EE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-12,6</w:t>
            </w:r>
          </w:p>
        </w:tc>
        <w:tc>
          <w:tcPr>
            <w:tcW w:w="1038" w:type="dxa"/>
            <w:noWrap/>
            <w:vAlign w:val="bottom"/>
            <w:hideMark/>
          </w:tcPr>
          <w:p w14:paraId="50AC04F9" w14:textId="7C9C77D4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-12,1</w:t>
            </w:r>
          </w:p>
        </w:tc>
        <w:tc>
          <w:tcPr>
            <w:tcW w:w="1027" w:type="dxa"/>
            <w:noWrap/>
            <w:vAlign w:val="bottom"/>
            <w:hideMark/>
          </w:tcPr>
          <w:p w14:paraId="7247A7F6" w14:textId="436DB48A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-7,4</w:t>
            </w:r>
          </w:p>
        </w:tc>
        <w:tc>
          <w:tcPr>
            <w:tcW w:w="713" w:type="dxa"/>
            <w:noWrap/>
            <w:vAlign w:val="bottom"/>
            <w:hideMark/>
          </w:tcPr>
          <w:p w14:paraId="42036A99" w14:textId="2AC12905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-10,4</w:t>
            </w:r>
          </w:p>
        </w:tc>
        <w:tc>
          <w:tcPr>
            <w:tcW w:w="713" w:type="dxa"/>
            <w:noWrap/>
            <w:vAlign w:val="bottom"/>
            <w:hideMark/>
          </w:tcPr>
          <w:p w14:paraId="181D4E85" w14:textId="35174318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-14,7</w:t>
            </w:r>
          </w:p>
        </w:tc>
        <w:tc>
          <w:tcPr>
            <w:tcW w:w="832" w:type="dxa"/>
            <w:noWrap/>
            <w:vAlign w:val="bottom"/>
            <w:hideMark/>
          </w:tcPr>
          <w:p w14:paraId="3759FD1D" w14:textId="3B18553B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-14,9</w:t>
            </w:r>
          </w:p>
        </w:tc>
        <w:tc>
          <w:tcPr>
            <w:tcW w:w="754" w:type="dxa"/>
            <w:noWrap/>
            <w:vAlign w:val="bottom"/>
            <w:hideMark/>
          </w:tcPr>
          <w:p w14:paraId="12500F3D" w14:textId="73482B85" w:rsidR="00F920CE" w:rsidRPr="00C13DEB" w:rsidRDefault="00F920CE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-18,1</w:t>
            </w:r>
          </w:p>
        </w:tc>
      </w:tr>
      <w:tr w:rsidR="0004754D" w:rsidRPr="00AD7D54" w14:paraId="0469C264" w14:textId="77777777" w:rsidTr="00F920CE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F00E8F6" w14:textId="25DFB413" w:rsidR="0004754D" w:rsidRDefault="0004754D" w:rsidP="00795AA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2017</w:t>
            </w:r>
          </w:p>
        </w:tc>
        <w:tc>
          <w:tcPr>
            <w:tcW w:w="705" w:type="dxa"/>
            <w:noWrap/>
            <w:vAlign w:val="bottom"/>
          </w:tcPr>
          <w:p w14:paraId="40F603A1" w14:textId="1FC3879E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806" w:type="dxa"/>
            <w:noWrap/>
            <w:vAlign w:val="bottom"/>
          </w:tcPr>
          <w:p w14:paraId="38F5FE4C" w14:textId="2B3680EE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-25,4</w:t>
            </w:r>
          </w:p>
        </w:tc>
        <w:tc>
          <w:tcPr>
            <w:tcW w:w="691" w:type="dxa"/>
            <w:noWrap/>
            <w:vAlign w:val="bottom"/>
          </w:tcPr>
          <w:p w14:paraId="50297609" w14:textId="64FCFDB4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-17,4</w:t>
            </w:r>
          </w:p>
        </w:tc>
        <w:tc>
          <w:tcPr>
            <w:tcW w:w="777" w:type="dxa"/>
            <w:noWrap/>
            <w:vAlign w:val="bottom"/>
          </w:tcPr>
          <w:p w14:paraId="61A21B99" w14:textId="589DDB06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-18,9</w:t>
            </w:r>
          </w:p>
        </w:tc>
        <w:tc>
          <w:tcPr>
            <w:tcW w:w="789" w:type="dxa"/>
            <w:noWrap/>
            <w:vAlign w:val="bottom"/>
          </w:tcPr>
          <w:p w14:paraId="23099EBD" w14:textId="3AE85FF4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950" w:type="dxa"/>
            <w:noWrap/>
            <w:vAlign w:val="bottom"/>
          </w:tcPr>
          <w:p w14:paraId="431B908D" w14:textId="7FB5E742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1038" w:type="dxa"/>
            <w:noWrap/>
            <w:vAlign w:val="bottom"/>
          </w:tcPr>
          <w:p w14:paraId="13854D8A" w14:textId="0075C418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-20,4</w:t>
            </w:r>
          </w:p>
        </w:tc>
        <w:tc>
          <w:tcPr>
            <w:tcW w:w="1027" w:type="dxa"/>
            <w:noWrap/>
            <w:vAlign w:val="bottom"/>
          </w:tcPr>
          <w:p w14:paraId="7BFC5237" w14:textId="40F07C99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-16,8</w:t>
            </w:r>
          </w:p>
        </w:tc>
        <w:tc>
          <w:tcPr>
            <w:tcW w:w="713" w:type="dxa"/>
            <w:noWrap/>
            <w:vAlign w:val="bottom"/>
          </w:tcPr>
          <w:p w14:paraId="19EAF2D5" w14:textId="64E8D60B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-16,3</w:t>
            </w:r>
          </w:p>
        </w:tc>
        <w:tc>
          <w:tcPr>
            <w:tcW w:w="713" w:type="dxa"/>
            <w:noWrap/>
            <w:vAlign w:val="bottom"/>
          </w:tcPr>
          <w:p w14:paraId="657289C0" w14:textId="53684ED8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-12,4</w:t>
            </w:r>
          </w:p>
        </w:tc>
        <w:tc>
          <w:tcPr>
            <w:tcW w:w="832" w:type="dxa"/>
            <w:noWrap/>
            <w:vAlign w:val="bottom"/>
          </w:tcPr>
          <w:p w14:paraId="761B89AD" w14:textId="63A58F0E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-14,5</w:t>
            </w:r>
          </w:p>
        </w:tc>
        <w:tc>
          <w:tcPr>
            <w:tcW w:w="754" w:type="dxa"/>
            <w:noWrap/>
            <w:vAlign w:val="bottom"/>
          </w:tcPr>
          <w:p w14:paraId="197DA684" w14:textId="616DFD13" w:rsidR="0004754D" w:rsidRPr="00290FB9" w:rsidRDefault="0004754D" w:rsidP="00795AA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-15,9</w:t>
            </w:r>
          </w:p>
        </w:tc>
      </w:tr>
      <w:tr w:rsidR="0004754D" w:rsidRPr="002A04C6" w14:paraId="6274700F" w14:textId="77777777" w:rsidTr="00F9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68531ECA" w14:textId="5CF13D31" w:rsidR="0004754D" w:rsidRDefault="0004754D" w:rsidP="004244F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2018</w:t>
            </w:r>
          </w:p>
        </w:tc>
        <w:tc>
          <w:tcPr>
            <w:tcW w:w="705" w:type="dxa"/>
            <w:noWrap/>
            <w:vAlign w:val="bottom"/>
          </w:tcPr>
          <w:p w14:paraId="57D10884" w14:textId="2EEA5432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806" w:type="dxa"/>
            <w:noWrap/>
            <w:vAlign w:val="bottom"/>
          </w:tcPr>
          <w:p w14:paraId="0940A7B1" w14:textId="6EACD6D5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-10,5</w:t>
            </w:r>
          </w:p>
        </w:tc>
        <w:tc>
          <w:tcPr>
            <w:tcW w:w="691" w:type="dxa"/>
            <w:noWrap/>
            <w:vAlign w:val="bottom"/>
          </w:tcPr>
          <w:p w14:paraId="106DEED2" w14:textId="77BA8CF5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-11,4</w:t>
            </w:r>
          </w:p>
        </w:tc>
        <w:tc>
          <w:tcPr>
            <w:tcW w:w="777" w:type="dxa"/>
            <w:noWrap/>
            <w:vAlign w:val="bottom"/>
          </w:tcPr>
          <w:p w14:paraId="646FA6A2" w14:textId="4ABE7C47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-16,4</w:t>
            </w:r>
          </w:p>
        </w:tc>
        <w:tc>
          <w:tcPr>
            <w:tcW w:w="789" w:type="dxa"/>
            <w:noWrap/>
            <w:vAlign w:val="bottom"/>
          </w:tcPr>
          <w:p w14:paraId="2A588578" w14:textId="08B29194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-16,7</w:t>
            </w:r>
          </w:p>
        </w:tc>
        <w:tc>
          <w:tcPr>
            <w:tcW w:w="950" w:type="dxa"/>
            <w:noWrap/>
            <w:vAlign w:val="bottom"/>
          </w:tcPr>
          <w:p w14:paraId="210526A9" w14:textId="45878FD1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-14,0</w:t>
            </w:r>
          </w:p>
        </w:tc>
        <w:tc>
          <w:tcPr>
            <w:tcW w:w="1038" w:type="dxa"/>
            <w:noWrap/>
            <w:vAlign w:val="bottom"/>
          </w:tcPr>
          <w:p w14:paraId="5DA8E19B" w14:textId="7CA50F7A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-10,6</w:t>
            </w:r>
          </w:p>
        </w:tc>
        <w:tc>
          <w:tcPr>
            <w:tcW w:w="1027" w:type="dxa"/>
            <w:noWrap/>
            <w:vAlign w:val="bottom"/>
          </w:tcPr>
          <w:p w14:paraId="32E3EAB3" w14:textId="634FB141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-14,6</w:t>
            </w:r>
          </w:p>
        </w:tc>
        <w:tc>
          <w:tcPr>
            <w:tcW w:w="713" w:type="dxa"/>
            <w:noWrap/>
            <w:vAlign w:val="bottom"/>
          </w:tcPr>
          <w:p w14:paraId="6CAFA460" w14:textId="03500713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-14,9</w:t>
            </w:r>
          </w:p>
        </w:tc>
        <w:tc>
          <w:tcPr>
            <w:tcW w:w="713" w:type="dxa"/>
            <w:noWrap/>
            <w:vAlign w:val="bottom"/>
          </w:tcPr>
          <w:p w14:paraId="2941DE6D" w14:textId="302C0C11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832" w:type="dxa"/>
            <w:noWrap/>
            <w:vAlign w:val="bottom"/>
          </w:tcPr>
          <w:p w14:paraId="5EFED6A2" w14:textId="24D7A971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754" w:type="dxa"/>
            <w:noWrap/>
            <w:vAlign w:val="bottom"/>
          </w:tcPr>
          <w:p w14:paraId="717CF94A" w14:textId="008C268D" w:rsidR="0004754D" w:rsidRPr="003A0E9C" w:rsidRDefault="0004754D" w:rsidP="00795AA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-8,6</w:t>
            </w:r>
          </w:p>
        </w:tc>
      </w:tr>
    </w:tbl>
    <w:p w14:paraId="4D926E7C" w14:textId="77777777" w:rsidR="00D86C5F" w:rsidRDefault="00D86C5F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  <w:highlight w:val="yellow"/>
        </w:rPr>
      </w:pPr>
    </w:p>
    <w:p w14:paraId="05A5766C" w14:textId="77777777" w:rsidR="00D86C5F" w:rsidRDefault="00D86C5F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  <w:highlight w:val="yellow"/>
        </w:rPr>
      </w:pPr>
    </w:p>
    <w:p w14:paraId="48767DCB" w14:textId="77777777" w:rsidR="00BE41EA" w:rsidRPr="00BE41EA" w:rsidRDefault="00BE41EA" w:rsidP="00BE41EA"/>
    <w:p w14:paraId="6039618B" w14:textId="77777777" w:rsidR="007D74FE" w:rsidRDefault="007D74FE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089D3561" w14:textId="77777777" w:rsidR="00300863" w:rsidRDefault="00300863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45FF514" w14:textId="77777777" w:rsidR="00FC3E7F" w:rsidRDefault="00FC3E7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F5B4790" w14:textId="1F03C969" w:rsidR="00B0087B" w:rsidRPr="00B0087B" w:rsidRDefault="00E05B97" w:rsidP="00970B91">
      <w:pPr>
        <w:pStyle w:val="Balk2"/>
        <w:jc w:val="both"/>
      </w:pPr>
      <w:r>
        <w:rPr>
          <w:rFonts w:asciiTheme="minorHAnsi" w:hAnsiTheme="minorHAnsi" w:cs="Arial"/>
          <w:color w:val="0070C0"/>
          <w:sz w:val="28"/>
        </w:rPr>
        <w:t>2018</w:t>
      </w:r>
      <w:r w:rsidR="00A767DE" w:rsidRPr="004B4B07">
        <w:rPr>
          <w:rFonts w:asciiTheme="minorHAnsi" w:hAnsiTheme="minorHAnsi" w:cs="Arial"/>
          <w:color w:val="0070C0"/>
          <w:sz w:val="28"/>
        </w:rPr>
        <w:t xml:space="preserve"> yılında perakendecinin satış bekl</w:t>
      </w:r>
      <w:r>
        <w:rPr>
          <w:rFonts w:asciiTheme="minorHAnsi" w:hAnsiTheme="minorHAnsi" w:cs="Arial"/>
          <w:color w:val="0070C0"/>
          <w:sz w:val="28"/>
        </w:rPr>
        <w:t>entisi 2017</w:t>
      </w:r>
      <w:r w:rsidR="00A767DE" w:rsidRPr="004B4B07">
        <w:rPr>
          <w:rFonts w:asciiTheme="minorHAnsi" w:hAnsiTheme="minorHAnsi" w:cs="Arial"/>
          <w:color w:val="0070C0"/>
          <w:sz w:val="28"/>
        </w:rPr>
        <w:t xml:space="preserve"> yıl</w:t>
      </w:r>
      <w:r>
        <w:rPr>
          <w:rFonts w:asciiTheme="minorHAnsi" w:hAnsiTheme="minorHAnsi" w:cs="Arial"/>
          <w:color w:val="0070C0"/>
          <w:sz w:val="28"/>
        </w:rPr>
        <w:t>ına göre arttı</w:t>
      </w:r>
      <w:r w:rsidR="00A767DE">
        <w:rPr>
          <w:rFonts w:asciiTheme="minorHAnsi" w:hAnsiTheme="minorHAnsi" w:cs="Arial"/>
          <w:color w:val="0070C0"/>
          <w:sz w:val="28"/>
          <w:highlight w:val="yellow"/>
        </w:rPr>
        <w:br/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>Önümüzdeki 3 aya ilişkin satış beklentilerinin mevsimsellik</w:t>
      </w:r>
      <w:r w:rsidR="00D92C48">
        <w:rPr>
          <w:rFonts w:asciiTheme="minorHAnsi" w:hAnsiTheme="minorHAnsi" w:cs="Arial"/>
          <w:b w:val="0"/>
          <w:color w:val="0070C0"/>
          <w:sz w:val="24"/>
        </w:rPr>
        <w:t>ten arındırılmış değerlerin 2018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D92C48">
        <w:rPr>
          <w:rFonts w:asciiTheme="minorHAnsi" w:hAnsiTheme="minorHAnsi" w:cs="Arial"/>
          <w:b w:val="0"/>
          <w:color w:val="0070C0"/>
          <w:sz w:val="24"/>
        </w:rPr>
        <w:t>ve 2017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yılları itibari il</w:t>
      </w:r>
      <w:r w:rsidR="005254DB">
        <w:rPr>
          <w:rFonts w:asciiTheme="minorHAnsi" w:hAnsiTheme="minorHAnsi" w:cs="Arial"/>
          <w:b w:val="0"/>
          <w:color w:val="0070C0"/>
          <w:sz w:val="24"/>
        </w:rPr>
        <w:t>e bakıldığında, beklentinin 201</w:t>
      </w:r>
      <w:r w:rsidR="00970B91">
        <w:rPr>
          <w:rFonts w:asciiTheme="minorHAnsi" w:hAnsiTheme="minorHAnsi" w:cs="Arial"/>
          <w:b w:val="0"/>
          <w:color w:val="0070C0"/>
          <w:sz w:val="24"/>
        </w:rPr>
        <w:t>8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yılı </w:t>
      </w:r>
      <w:r w:rsidR="00970B91">
        <w:rPr>
          <w:rFonts w:asciiTheme="minorHAnsi" w:hAnsiTheme="minorHAnsi" w:cs="Arial"/>
          <w:b w:val="0"/>
          <w:color w:val="0070C0"/>
          <w:sz w:val="24"/>
        </w:rPr>
        <w:t>Ocak, Mayıs, Ağustos, Eylül, Ekim ve Kasım aylarında 2017</w:t>
      </w:r>
      <w:r w:rsidR="00A767DE">
        <w:rPr>
          <w:rFonts w:asciiTheme="minorHAnsi" w:hAnsiTheme="minorHAnsi" w:cs="Arial"/>
          <w:b w:val="0"/>
          <w:color w:val="0070C0"/>
          <w:sz w:val="24"/>
        </w:rPr>
        <w:t>’</w:t>
      </w:r>
      <w:r w:rsidR="00970B91">
        <w:rPr>
          <w:rFonts w:asciiTheme="minorHAnsi" w:hAnsiTheme="minorHAnsi" w:cs="Arial"/>
          <w:b w:val="0"/>
          <w:color w:val="0070C0"/>
          <w:sz w:val="24"/>
        </w:rPr>
        <w:t>nin</w:t>
      </w:r>
      <w:r w:rsidR="005254DB">
        <w:rPr>
          <w:rFonts w:asciiTheme="minorHAnsi" w:hAnsiTheme="minorHAnsi" w:cs="Arial"/>
          <w:b w:val="0"/>
          <w:color w:val="0070C0"/>
          <w:sz w:val="24"/>
        </w:rPr>
        <w:t xml:space="preserve"> aynı dönemlerine göre daha </w:t>
      </w:r>
      <w:r w:rsidR="0081647D">
        <w:rPr>
          <w:rFonts w:asciiTheme="minorHAnsi" w:hAnsiTheme="minorHAnsi" w:cs="Arial"/>
          <w:b w:val="0"/>
          <w:color w:val="0070C0"/>
          <w:sz w:val="24"/>
        </w:rPr>
        <w:t>düşük</w:t>
      </w:r>
      <w:r w:rsidR="005254DB">
        <w:rPr>
          <w:rFonts w:asciiTheme="minorHAnsi" w:hAnsiTheme="minorHAnsi" w:cs="Arial"/>
          <w:b w:val="0"/>
          <w:color w:val="0070C0"/>
          <w:sz w:val="24"/>
        </w:rPr>
        <w:t xml:space="preserve"> değerler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aldığı görüldü. Önümüzdeki 3 aya il</w:t>
      </w:r>
      <w:r w:rsidR="004B4B07">
        <w:rPr>
          <w:rFonts w:asciiTheme="minorHAnsi" w:hAnsiTheme="minorHAnsi" w:cs="Arial"/>
          <w:b w:val="0"/>
          <w:color w:val="0070C0"/>
          <w:sz w:val="24"/>
        </w:rPr>
        <w:t xml:space="preserve">işkin </w:t>
      </w:r>
      <w:r w:rsidR="00970B91">
        <w:rPr>
          <w:rFonts w:asciiTheme="minorHAnsi" w:hAnsiTheme="minorHAnsi" w:cs="Arial"/>
          <w:b w:val="0"/>
          <w:color w:val="0070C0"/>
          <w:sz w:val="24"/>
        </w:rPr>
        <w:t>satış beklentilerinin 2017 yılı ortalaması -11,3 puan iken 2018 yılı ortalaması -7,4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puan değerini aldı. Böylel</w:t>
      </w:r>
      <w:r w:rsidR="00970B91">
        <w:rPr>
          <w:rFonts w:asciiTheme="minorHAnsi" w:hAnsiTheme="minorHAnsi" w:cs="Arial"/>
          <w:b w:val="0"/>
          <w:color w:val="0070C0"/>
          <w:sz w:val="24"/>
        </w:rPr>
        <w:t>ikle perakende sektörü için 2018 yılı, 2017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yılı</w:t>
      </w:r>
      <w:r w:rsidR="00970B91">
        <w:rPr>
          <w:rFonts w:asciiTheme="minorHAnsi" w:hAnsiTheme="minorHAnsi" w:cs="Arial"/>
          <w:b w:val="0"/>
          <w:color w:val="0070C0"/>
          <w:sz w:val="24"/>
        </w:rPr>
        <w:t>na göre beklentilerin daha yüksek</w:t>
      </w:r>
      <w:r w:rsidR="00A767DE" w:rsidRPr="00A767DE">
        <w:rPr>
          <w:rFonts w:asciiTheme="minorHAnsi" w:hAnsiTheme="minorHAnsi" w:cs="Arial"/>
          <w:b w:val="0"/>
          <w:color w:val="0070C0"/>
          <w:sz w:val="24"/>
        </w:rPr>
        <w:t xml:space="preserve"> olduğu bir yıl oldu.</w:t>
      </w:r>
      <w:r w:rsidR="00687D8C">
        <w:rPr>
          <w:rFonts w:asciiTheme="minorHAnsi" w:hAnsiTheme="minorHAnsi" w:cs="Arial"/>
          <w:b w:val="0"/>
          <w:color w:val="0070C0"/>
          <w:sz w:val="24"/>
        </w:rPr>
        <w:t xml:space="preserve"> Çeyreklik dönemlerde incelendiğinde, dördüncü </w:t>
      </w:r>
      <w:r w:rsidR="00970B91">
        <w:rPr>
          <w:rFonts w:asciiTheme="minorHAnsi" w:hAnsiTheme="minorHAnsi" w:cs="Arial"/>
          <w:b w:val="0"/>
          <w:color w:val="0070C0"/>
          <w:sz w:val="24"/>
        </w:rPr>
        <w:t>çeyrek dönemde 2018 değerleri 2017</w:t>
      </w:r>
      <w:r w:rsidR="00687D8C">
        <w:rPr>
          <w:rFonts w:asciiTheme="minorHAnsi" w:hAnsiTheme="minorHAnsi" w:cs="Arial"/>
          <w:b w:val="0"/>
          <w:color w:val="0070C0"/>
          <w:sz w:val="24"/>
        </w:rPr>
        <w:t xml:space="preserve"> yılı değerlerinin </w:t>
      </w:r>
      <w:r w:rsidR="00970B91">
        <w:rPr>
          <w:rFonts w:asciiTheme="minorHAnsi" w:hAnsiTheme="minorHAnsi" w:cs="Arial"/>
          <w:b w:val="0"/>
          <w:color w:val="0070C0"/>
          <w:sz w:val="24"/>
        </w:rPr>
        <w:t>altında</w:t>
      </w:r>
      <w:r w:rsidR="00687D8C">
        <w:rPr>
          <w:rFonts w:asciiTheme="minorHAnsi" w:hAnsiTheme="minorHAnsi" w:cs="Arial"/>
          <w:b w:val="0"/>
          <w:color w:val="0070C0"/>
          <w:sz w:val="24"/>
        </w:rPr>
        <w:t xml:space="preserve"> yer aldı.</w:t>
      </w:r>
    </w:p>
    <w:p w14:paraId="3B9E604D" w14:textId="77777777" w:rsidR="00B0087B" w:rsidRDefault="00B0087B" w:rsidP="00795AA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</w:p>
    <w:p w14:paraId="521C7033" w14:textId="06E889CB" w:rsidR="00795AA3" w:rsidRPr="00563959" w:rsidRDefault="008B4E46" w:rsidP="00795AA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Aralık 2018</w:t>
      </w:r>
      <w:r w:rsidR="00A041DB">
        <w:rPr>
          <w:rFonts w:asciiTheme="minorHAnsi" w:hAnsiTheme="minorHAnsi" w:cs="Arial"/>
          <w:b w:val="0"/>
          <w:color w:val="0070C0"/>
          <w:sz w:val="24"/>
        </w:rPr>
        <w:t>’de 6,8</w:t>
      </w:r>
      <w:r w:rsidR="00BB7349">
        <w:rPr>
          <w:rFonts w:asciiTheme="minorHAnsi" w:hAnsiTheme="minorHAnsi" w:cs="Arial"/>
          <w:b w:val="0"/>
          <w:color w:val="0070C0"/>
          <w:sz w:val="24"/>
        </w:rPr>
        <w:t xml:space="preserve"> puan değerini alan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 önümüzdeki 3 aya ilişkin satış beklentileri, bir önceki aya g</w:t>
      </w:r>
      <w:r w:rsidR="00A041DB">
        <w:rPr>
          <w:rFonts w:asciiTheme="minorHAnsi" w:hAnsiTheme="minorHAnsi" w:cs="Arial"/>
          <w:b w:val="0"/>
          <w:color w:val="0070C0"/>
          <w:sz w:val="24"/>
        </w:rPr>
        <w:t>öre 18,6</w:t>
      </w:r>
      <w:r w:rsidR="00795AA3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>puan, bir öncek</w:t>
      </w:r>
      <w:r w:rsidR="00404346">
        <w:rPr>
          <w:rFonts w:asciiTheme="minorHAnsi" w:hAnsiTheme="minorHAnsi" w:cs="Arial"/>
          <w:b w:val="0"/>
          <w:color w:val="0070C0"/>
          <w:sz w:val="24"/>
        </w:rPr>
        <w:t xml:space="preserve">i yılın aynı ayına göre </w:t>
      </w:r>
      <w:r w:rsidR="00D33480">
        <w:rPr>
          <w:rFonts w:asciiTheme="minorHAnsi" w:hAnsiTheme="minorHAnsi" w:cs="Arial"/>
          <w:b w:val="0"/>
          <w:color w:val="0070C0"/>
          <w:sz w:val="24"/>
        </w:rPr>
        <w:t>1</w:t>
      </w:r>
      <w:r w:rsidR="00A041DB">
        <w:rPr>
          <w:rFonts w:asciiTheme="minorHAnsi" w:hAnsiTheme="minorHAnsi" w:cs="Arial"/>
          <w:b w:val="0"/>
          <w:color w:val="0070C0"/>
          <w:sz w:val="24"/>
        </w:rPr>
        <w:t>3</w:t>
      </w:r>
      <w:r w:rsidR="00D33480">
        <w:rPr>
          <w:rFonts w:asciiTheme="minorHAnsi" w:hAnsiTheme="minorHAnsi" w:cs="Arial"/>
          <w:b w:val="0"/>
          <w:color w:val="0070C0"/>
          <w:sz w:val="24"/>
        </w:rPr>
        <w:t>,2</w:t>
      </w:r>
      <w:r w:rsidR="00404346">
        <w:rPr>
          <w:rFonts w:asciiTheme="minorHAnsi" w:hAnsiTheme="minorHAnsi" w:cs="Arial"/>
          <w:b w:val="0"/>
          <w:color w:val="0070C0"/>
          <w:sz w:val="24"/>
        </w:rPr>
        <w:t xml:space="preserve"> puan arttı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795AA3">
        <w:rPr>
          <w:rFonts w:asciiTheme="minorHAnsi" w:hAnsiTheme="minorHAnsi" w:cs="Arial"/>
          <w:b w:val="0"/>
          <w:color w:val="0070C0"/>
          <w:sz w:val="24"/>
        </w:rPr>
        <w:t>Aralık</w:t>
      </w:r>
      <w:r w:rsidR="00A041DB">
        <w:rPr>
          <w:rFonts w:asciiTheme="minorHAnsi" w:hAnsiTheme="minorHAnsi" w:cs="Arial"/>
          <w:b w:val="0"/>
          <w:color w:val="0070C0"/>
          <w:sz w:val="24"/>
        </w:rPr>
        <w:t xml:space="preserve"> 2018</w:t>
      </w:r>
      <w:r w:rsidR="00404346">
        <w:rPr>
          <w:rFonts w:asciiTheme="minorHAnsi" w:hAnsiTheme="minorHAnsi" w:cs="Arial"/>
          <w:b w:val="0"/>
          <w:color w:val="0070C0"/>
          <w:sz w:val="24"/>
        </w:rPr>
        <w:t>’de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 TEPE anketi katılımcılarının yüzde </w:t>
      </w:r>
      <w:r w:rsidR="00A041DB">
        <w:rPr>
          <w:rFonts w:asciiTheme="minorHAnsi" w:hAnsiTheme="minorHAnsi" w:cs="Arial"/>
          <w:b w:val="0"/>
          <w:color w:val="0070C0"/>
          <w:sz w:val="24"/>
        </w:rPr>
        <w:t>36,3’ü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 önümüzdeki 3 ayda işlerinde iyileşme beklerken, </w:t>
      </w:r>
      <w:r w:rsidR="00A041DB">
        <w:rPr>
          <w:rFonts w:asciiTheme="minorHAnsi" w:hAnsiTheme="minorHAnsi" w:cs="Arial"/>
          <w:b w:val="0"/>
          <w:color w:val="0070C0"/>
          <w:sz w:val="24"/>
        </w:rPr>
        <w:t>yüzde 34,9’u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 işlerinde kötüleşme beklediğini belirtti. İşlerinde bir değişiklik beklemeyenlerin oranı ise</w:t>
      </w:r>
      <w:r w:rsidR="00795AA3">
        <w:rPr>
          <w:rFonts w:asciiTheme="minorHAnsi" w:hAnsiTheme="minorHAnsi" w:cs="Arial"/>
          <w:b w:val="0"/>
          <w:color w:val="0070C0"/>
          <w:sz w:val="24"/>
        </w:rPr>
        <w:t>,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 w:rsidR="00A041DB">
        <w:rPr>
          <w:rFonts w:asciiTheme="minorHAnsi" w:hAnsiTheme="minorHAnsi" w:cs="Arial"/>
          <w:b w:val="0"/>
          <w:color w:val="0070C0"/>
          <w:sz w:val="24"/>
        </w:rPr>
        <w:t>28,8</w:t>
      </w:r>
      <w:r w:rsidR="00795AA3" w:rsidRPr="001F41B6">
        <w:rPr>
          <w:rFonts w:asciiTheme="minorHAnsi" w:hAnsiTheme="minorHAnsi" w:cs="Arial"/>
          <w:b w:val="0"/>
          <w:color w:val="0070C0"/>
          <w:sz w:val="24"/>
        </w:rPr>
        <w:t xml:space="preserve"> olarak belirlendi.</w:t>
      </w:r>
      <w:r w:rsidR="00795AA3" w:rsidRPr="00563959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5161B900" w14:textId="77777777" w:rsidR="00795AA3" w:rsidRDefault="00795AA3" w:rsidP="00E64B09">
      <w:pPr>
        <w:jc w:val="both"/>
        <w:rPr>
          <w:rFonts w:asciiTheme="minorHAnsi" w:eastAsia="Times New Roman" w:hAnsiTheme="minorHAnsi" w:cs="Arial"/>
          <w:bCs/>
          <w:color w:val="0070C0"/>
          <w:sz w:val="24"/>
          <w:szCs w:val="26"/>
        </w:rPr>
      </w:pPr>
    </w:p>
    <w:p w14:paraId="6633A580" w14:textId="36478BDB" w:rsidR="00AC48C6" w:rsidRPr="00AC48C6" w:rsidRDefault="00AC48C6" w:rsidP="00AC48C6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01707">
        <w:rPr>
          <w:rFonts w:asciiTheme="minorHAnsi" w:hAnsiTheme="minorHAnsi"/>
          <w:b/>
        </w:rPr>
        <w:t>3</w:t>
      </w:r>
      <w:r w:rsidRPr="00662EBC">
        <w:rPr>
          <w:rFonts w:asciiTheme="minorHAnsi" w:hAnsiTheme="minorHAnsi"/>
          <w:b/>
        </w:rPr>
        <w:t xml:space="preserve">. </w:t>
      </w:r>
      <w:r w:rsidRPr="00662EBC">
        <w:rPr>
          <w:rFonts w:asciiTheme="minorHAnsi" w:hAnsiTheme="minorHAnsi"/>
        </w:rPr>
        <w:t xml:space="preserve">Önümüzdeki 3 aya ilişkin </w:t>
      </w:r>
      <w:r>
        <w:rPr>
          <w:rFonts w:asciiTheme="minorHAnsi" w:hAnsiTheme="minorHAnsi"/>
        </w:rPr>
        <w:t xml:space="preserve">satış </w:t>
      </w:r>
      <w:r w:rsidRPr="00662EBC">
        <w:rPr>
          <w:rFonts w:asciiTheme="minorHAnsi" w:hAnsiTheme="minorHAnsi"/>
        </w:rPr>
        <w:t>beklenti</w:t>
      </w:r>
      <w:r>
        <w:rPr>
          <w:rFonts w:asciiTheme="minorHAnsi" w:hAnsiTheme="minorHAnsi"/>
        </w:rPr>
        <w:t>si</w:t>
      </w:r>
      <w:r w:rsidRPr="00662EBC">
        <w:rPr>
          <w:noProof/>
          <w:lang w:eastAsia="tr-TR"/>
        </w:rPr>
        <w:t xml:space="preserve"> </w:t>
      </w:r>
      <w:r w:rsidR="00562F1F">
        <w:rPr>
          <w:rFonts w:asciiTheme="minorHAnsi" w:hAnsiTheme="minorHAnsi"/>
        </w:rPr>
        <w:t>(Ocak – Aralık; 2017</w:t>
      </w:r>
      <w:r w:rsidRPr="00662EBC">
        <w:rPr>
          <w:rFonts w:asciiTheme="minorHAnsi" w:hAnsiTheme="minorHAnsi"/>
        </w:rPr>
        <w:t xml:space="preserve"> – </w:t>
      </w:r>
      <w:r w:rsidR="00562F1F">
        <w:rPr>
          <w:rFonts w:asciiTheme="minorHAnsi" w:hAnsiTheme="minorHAnsi"/>
        </w:rPr>
        <w:t>2018</w:t>
      </w:r>
      <w:r w:rsidRPr="00662EB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</w:p>
    <w:p w14:paraId="26C1284F" w14:textId="31FC2E6F" w:rsidR="00AC48C6" w:rsidRDefault="00562F1F" w:rsidP="00E64B09">
      <w:pPr>
        <w:jc w:val="both"/>
        <w:rPr>
          <w:rFonts w:asciiTheme="minorHAnsi" w:eastAsia="Times New Roman" w:hAnsiTheme="minorHAnsi" w:cs="Arial"/>
          <w:bCs/>
          <w:color w:val="0070C0"/>
          <w:sz w:val="24"/>
          <w:szCs w:val="26"/>
        </w:rPr>
      </w:pPr>
      <w:r>
        <w:rPr>
          <w:noProof/>
          <w:lang w:eastAsia="tr-TR"/>
        </w:rPr>
        <w:drawing>
          <wp:inline distT="0" distB="0" distL="0" distR="0" wp14:anchorId="328E1DEF" wp14:editId="111F29DA">
            <wp:extent cx="5715000" cy="2743200"/>
            <wp:effectExtent l="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6C2030" w14:textId="77777777" w:rsidR="00795AA3" w:rsidRPr="003127E7" w:rsidRDefault="00795AA3" w:rsidP="00795AA3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Tablo-2.</w:t>
      </w:r>
      <w:r w:rsidRPr="00662EBC">
        <w:rPr>
          <w:rFonts w:asciiTheme="minorHAnsi" w:hAnsiTheme="minorHAnsi"/>
        </w:rPr>
        <w:t xml:space="preserve"> Önümüzdeki 3 aya ilişkin</w:t>
      </w:r>
      <w:r>
        <w:rPr>
          <w:rFonts w:asciiTheme="minorHAnsi" w:hAnsiTheme="minorHAnsi"/>
        </w:rPr>
        <w:t xml:space="preserve"> satış</w:t>
      </w:r>
      <w:r w:rsidRPr="00662EBC">
        <w:rPr>
          <w:rFonts w:asciiTheme="minorHAnsi" w:hAnsiTheme="minorHAnsi"/>
        </w:rPr>
        <w:t xml:space="preserve"> beklenti</w:t>
      </w:r>
      <w:r>
        <w:rPr>
          <w:rFonts w:asciiTheme="minorHAnsi" w:hAnsiTheme="minorHAnsi"/>
        </w:rPr>
        <w:t xml:space="preserve">si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795AA3" w:rsidRPr="003127E7" w14:paraId="73561AA7" w14:textId="77777777" w:rsidTr="0079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51BB850" w14:textId="77777777" w:rsidR="00795AA3" w:rsidRPr="00346335" w:rsidRDefault="00795AA3" w:rsidP="00795AA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537ABE09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26D94B78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7930F928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66D36712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5725FAF9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671A0FB3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6DD93FC9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4270E23A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7FA3AD99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4547C151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6CD00848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03DA936B" w14:textId="77777777" w:rsidR="00795AA3" w:rsidRPr="00346335" w:rsidRDefault="00795AA3" w:rsidP="00795A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562F1F" w:rsidRPr="003127E7" w14:paraId="46727914" w14:textId="77777777" w:rsidTr="007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9496E01" w14:textId="47A0F155" w:rsidR="00562F1F" w:rsidRPr="00346335" w:rsidRDefault="00562F1F" w:rsidP="00795AA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2016</w:t>
            </w:r>
          </w:p>
        </w:tc>
        <w:tc>
          <w:tcPr>
            <w:tcW w:w="741" w:type="dxa"/>
            <w:noWrap/>
            <w:vAlign w:val="bottom"/>
            <w:hideMark/>
          </w:tcPr>
          <w:p w14:paraId="210E0796" w14:textId="14476A9E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16,6</w:t>
            </w:r>
          </w:p>
        </w:tc>
        <w:tc>
          <w:tcPr>
            <w:tcW w:w="807" w:type="dxa"/>
            <w:noWrap/>
            <w:vAlign w:val="bottom"/>
            <w:hideMark/>
          </w:tcPr>
          <w:p w14:paraId="3245DC8F" w14:textId="1AA8A9A7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-0,8</w:t>
            </w:r>
          </w:p>
        </w:tc>
        <w:tc>
          <w:tcPr>
            <w:tcW w:w="708" w:type="dxa"/>
            <w:noWrap/>
            <w:vAlign w:val="bottom"/>
            <w:hideMark/>
          </w:tcPr>
          <w:p w14:paraId="3D2B3656" w14:textId="1ADCA865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-3,1</w:t>
            </w:r>
          </w:p>
        </w:tc>
        <w:tc>
          <w:tcPr>
            <w:tcW w:w="808" w:type="dxa"/>
            <w:noWrap/>
            <w:vAlign w:val="bottom"/>
            <w:hideMark/>
          </w:tcPr>
          <w:p w14:paraId="3DD059A8" w14:textId="6C72B258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10,5</w:t>
            </w:r>
          </w:p>
        </w:tc>
        <w:tc>
          <w:tcPr>
            <w:tcW w:w="808" w:type="dxa"/>
            <w:noWrap/>
            <w:vAlign w:val="bottom"/>
            <w:hideMark/>
          </w:tcPr>
          <w:p w14:paraId="7D0C68C1" w14:textId="755A3C51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974" w:type="dxa"/>
            <w:noWrap/>
            <w:vAlign w:val="bottom"/>
            <w:hideMark/>
          </w:tcPr>
          <w:p w14:paraId="601BB570" w14:textId="35FF5541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1063" w:type="dxa"/>
            <w:noWrap/>
            <w:vAlign w:val="bottom"/>
            <w:hideMark/>
          </w:tcPr>
          <w:p w14:paraId="220C774F" w14:textId="1DAD3AB0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-1,7</w:t>
            </w:r>
          </w:p>
        </w:tc>
        <w:tc>
          <w:tcPr>
            <w:tcW w:w="1052" w:type="dxa"/>
            <w:noWrap/>
            <w:vAlign w:val="bottom"/>
            <w:hideMark/>
          </w:tcPr>
          <w:p w14:paraId="5349E192" w14:textId="3DEC2E8C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13,1</w:t>
            </w:r>
          </w:p>
        </w:tc>
        <w:tc>
          <w:tcPr>
            <w:tcW w:w="730" w:type="dxa"/>
            <w:noWrap/>
            <w:vAlign w:val="bottom"/>
            <w:hideMark/>
          </w:tcPr>
          <w:p w14:paraId="545F9001" w14:textId="4B669A27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30" w:type="dxa"/>
            <w:noWrap/>
            <w:vAlign w:val="bottom"/>
            <w:hideMark/>
          </w:tcPr>
          <w:p w14:paraId="71245AC4" w14:textId="13C92CC5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-5,9</w:t>
            </w:r>
          </w:p>
        </w:tc>
        <w:tc>
          <w:tcPr>
            <w:tcW w:w="852" w:type="dxa"/>
            <w:noWrap/>
            <w:vAlign w:val="bottom"/>
            <w:hideMark/>
          </w:tcPr>
          <w:p w14:paraId="1ABAFA55" w14:textId="1EBB2AA6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-1,6</w:t>
            </w:r>
          </w:p>
        </w:tc>
        <w:tc>
          <w:tcPr>
            <w:tcW w:w="808" w:type="dxa"/>
            <w:noWrap/>
            <w:vAlign w:val="bottom"/>
            <w:hideMark/>
          </w:tcPr>
          <w:p w14:paraId="12223C5D" w14:textId="302350A2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-16,9</w:t>
            </w:r>
          </w:p>
        </w:tc>
      </w:tr>
      <w:tr w:rsidR="00562F1F" w:rsidRPr="003127E7" w14:paraId="2A0C8547" w14:textId="77777777" w:rsidTr="00795AA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309BBE12" w14:textId="26B896C3" w:rsidR="00562F1F" w:rsidRDefault="00562F1F" w:rsidP="00547AD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  <w:hideMark/>
          </w:tcPr>
          <w:p w14:paraId="61D78F28" w14:textId="063E3FE1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-7,2</w:t>
            </w:r>
          </w:p>
        </w:tc>
        <w:tc>
          <w:tcPr>
            <w:tcW w:w="807" w:type="dxa"/>
            <w:noWrap/>
            <w:vAlign w:val="bottom"/>
            <w:hideMark/>
          </w:tcPr>
          <w:p w14:paraId="259BCA79" w14:textId="3A6D2EB5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-43,7</w:t>
            </w:r>
          </w:p>
        </w:tc>
        <w:tc>
          <w:tcPr>
            <w:tcW w:w="708" w:type="dxa"/>
            <w:noWrap/>
            <w:vAlign w:val="bottom"/>
            <w:hideMark/>
          </w:tcPr>
          <w:p w14:paraId="64B34EBC" w14:textId="3179CC7B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-13,6</w:t>
            </w:r>
          </w:p>
        </w:tc>
        <w:tc>
          <w:tcPr>
            <w:tcW w:w="808" w:type="dxa"/>
            <w:noWrap/>
            <w:vAlign w:val="bottom"/>
            <w:hideMark/>
          </w:tcPr>
          <w:p w14:paraId="4DE066C6" w14:textId="12C1767A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808" w:type="dxa"/>
            <w:noWrap/>
            <w:vAlign w:val="bottom"/>
            <w:hideMark/>
          </w:tcPr>
          <w:p w14:paraId="34D3AA06" w14:textId="2559484D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-6,7</w:t>
            </w:r>
          </w:p>
        </w:tc>
        <w:tc>
          <w:tcPr>
            <w:tcW w:w="974" w:type="dxa"/>
            <w:noWrap/>
            <w:vAlign w:val="bottom"/>
            <w:hideMark/>
          </w:tcPr>
          <w:p w14:paraId="372E77D4" w14:textId="06494442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  <w:tc>
          <w:tcPr>
            <w:tcW w:w="1063" w:type="dxa"/>
            <w:noWrap/>
            <w:vAlign w:val="bottom"/>
            <w:hideMark/>
          </w:tcPr>
          <w:p w14:paraId="0CB7DD14" w14:textId="0D720A18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-17,7</w:t>
            </w:r>
          </w:p>
        </w:tc>
        <w:tc>
          <w:tcPr>
            <w:tcW w:w="1052" w:type="dxa"/>
            <w:noWrap/>
            <w:vAlign w:val="bottom"/>
            <w:hideMark/>
          </w:tcPr>
          <w:p w14:paraId="04A912AC" w14:textId="1310F05F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-8,0</w:t>
            </w:r>
          </w:p>
        </w:tc>
        <w:tc>
          <w:tcPr>
            <w:tcW w:w="730" w:type="dxa"/>
            <w:noWrap/>
            <w:vAlign w:val="bottom"/>
            <w:hideMark/>
          </w:tcPr>
          <w:p w14:paraId="653E121F" w14:textId="7DD7F43C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-5,3</w:t>
            </w:r>
          </w:p>
        </w:tc>
        <w:tc>
          <w:tcPr>
            <w:tcW w:w="730" w:type="dxa"/>
            <w:noWrap/>
            <w:vAlign w:val="bottom"/>
            <w:hideMark/>
          </w:tcPr>
          <w:p w14:paraId="194A0D99" w14:textId="7BF593D6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-1,2</w:t>
            </w:r>
          </w:p>
        </w:tc>
        <w:tc>
          <w:tcPr>
            <w:tcW w:w="852" w:type="dxa"/>
            <w:noWrap/>
            <w:vAlign w:val="bottom"/>
            <w:hideMark/>
          </w:tcPr>
          <w:p w14:paraId="48F8745B" w14:textId="7662B0A1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-4,0</w:t>
            </w:r>
          </w:p>
        </w:tc>
        <w:tc>
          <w:tcPr>
            <w:tcW w:w="808" w:type="dxa"/>
            <w:noWrap/>
            <w:vAlign w:val="bottom"/>
            <w:hideMark/>
          </w:tcPr>
          <w:p w14:paraId="7E94B5B9" w14:textId="1A62C161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-6,4</w:t>
            </w:r>
          </w:p>
        </w:tc>
      </w:tr>
      <w:tr w:rsidR="00562F1F" w:rsidRPr="003127E7" w14:paraId="0EB72049" w14:textId="77777777" w:rsidTr="0079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3D61AD11" w14:textId="1891068E" w:rsidR="00562F1F" w:rsidRDefault="00562F1F" w:rsidP="00795AA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67392876" w14:textId="4D548531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-11,1</w:t>
            </w:r>
          </w:p>
        </w:tc>
        <w:tc>
          <w:tcPr>
            <w:tcW w:w="807" w:type="dxa"/>
            <w:noWrap/>
            <w:vAlign w:val="bottom"/>
          </w:tcPr>
          <w:p w14:paraId="16D2150E" w14:textId="4A54337B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708" w:type="dxa"/>
            <w:noWrap/>
            <w:vAlign w:val="bottom"/>
          </w:tcPr>
          <w:p w14:paraId="147E79EE" w14:textId="2E2A6B42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-2,5</w:t>
            </w:r>
          </w:p>
        </w:tc>
        <w:tc>
          <w:tcPr>
            <w:tcW w:w="808" w:type="dxa"/>
            <w:noWrap/>
            <w:vAlign w:val="bottom"/>
          </w:tcPr>
          <w:p w14:paraId="531849A5" w14:textId="33A51F52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-10,1</w:t>
            </w:r>
          </w:p>
        </w:tc>
        <w:tc>
          <w:tcPr>
            <w:tcW w:w="808" w:type="dxa"/>
            <w:noWrap/>
            <w:vAlign w:val="bottom"/>
          </w:tcPr>
          <w:p w14:paraId="65CE22E5" w14:textId="41DBF8DD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-13,1</w:t>
            </w:r>
          </w:p>
        </w:tc>
        <w:tc>
          <w:tcPr>
            <w:tcW w:w="974" w:type="dxa"/>
            <w:noWrap/>
            <w:vAlign w:val="bottom"/>
          </w:tcPr>
          <w:p w14:paraId="301D90DF" w14:textId="6E8B2E04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1063" w:type="dxa"/>
            <w:noWrap/>
            <w:vAlign w:val="bottom"/>
          </w:tcPr>
          <w:p w14:paraId="794B8124" w14:textId="4D3E48ED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-3,4</w:t>
            </w:r>
          </w:p>
        </w:tc>
        <w:tc>
          <w:tcPr>
            <w:tcW w:w="1052" w:type="dxa"/>
            <w:noWrap/>
            <w:vAlign w:val="bottom"/>
          </w:tcPr>
          <w:p w14:paraId="60A642E1" w14:textId="01D0232D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-14,4</w:t>
            </w:r>
          </w:p>
        </w:tc>
        <w:tc>
          <w:tcPr>
            <w:tcW w:w="730" w:type="dxa"/>
            <w:noWrap/>
            <w:vAlign w:val="bottom"/>
          </w:tcPr>
          <w:p w14:paraId="656094DE" w14:textId="05ACCAB2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-11,9</w:t>
            </w:r>
          </w:p>
        </w:tc>
        <w:tc>
          <w:tcPr>
            <w:tcW w:w="730" w:type="dxa"/>
            <w:noWrap/>
            <w:vAlign w:val="bottom"/>
          </w:tcPr>
          <w:p w14:paraId="453BEE67" w14:textId="0B83DB3B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-15,2</w:t>
            </w:r>
          </w:p>
        </w:tc>
        <w:tc>
          <w:tcPr>
            <w:tcW w:w="852" w:type="dxa"/>
            <w:noWrap/>
            <w:vAlign w:val="bottom"/>
          </w:tcPr>
          <w:p w14:paraId="2735B285" w14:textId="6AEBC5E0" w:rsidR="00562F1F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-11,8</w:t>
            </w:r>
          </w:p>
        </w:tc>
        <w:tc>
          <w:tcPr>
            <w:tcW w:w="808" w:type="dxa"/>
            <w:noWrap/>
            <w:vAlign w:val="bottom"/>
            <w:hideMark/>
          </w:tcPr>
          <w:p w14:paraId="520E6EA2" w14:textId="6386F4E9" w:rsidR="00562F1F" w:rsidRPr="008A22AB" w:rsidRDefault="00562F1F" w:rsidP="00795AA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6,8</w:t>
            </w:r>
          </w:p>
        </w:tc>
      </w:tr>
    </w:tbl>
    <w:p w14:paraId="225E456C" w14:textId="77777777" w:rsidR="00795AA3" w:rsidRDefault="00795AA3" w:rsidP="00795AA3">
      <w:pPr>
        <w:jc w:val="center"/>
        <w:rPr>
          <w:rFonts w:asciiTheme="minorHAnsi" w:hAnsiTheme="minorHAnsi" w:cs="Arial"/>
        </w:rPr>
      </w:pPr>
    </w:p>
    <w:p w14:paraId="75558F6C" w14:textId="77777777" w:rsidR="00795AA3" w:rsidRPr="00E64B09" w:rsidRDefault="00795AA3" w:rsidP="00E64B09">
      <w:pPr>
        <w:jc w:val="both"/>
        <w:rPr>
          <w:rFonts w:asciiTheme="minorHAnsi" w:eastAsia="Times New Roman" w:hAnsiTheme="minorHAnsi" w:cs="Arial"/>
          <w:bCs/>
          <w:color w:val="0070C0"/>
          <w:sz w:val="24"/>
          <w:szCs w:val="26"/>
        </w:rPr>
      </w:pPr>
    </w:p>
    <w:p w14:paraId="1E340E67" w14:textId="77777777" w:rsidR="001766DE" w:rsidRDefault="001766DE" w:rsidP="00201819">
      <w:pPr>
        <w:pStyle w:val="Balk2"/>
        <w:jc w:val="both"/>
        <w:rPr>
          <w:rFonts w:asciiTheme="minorHAnsi" w:hAnsiTheme="minorHAnsi" w:cs="Arial"/>
          <w:color w:val="0070C0"/>
          <w:sz w:val="28"/>
          <w:highlight w:val="yellow"/>
        </w:rPr>
      </w:pPr>
    </w:p>
    <w:p w14:paraId="68987CF5" w14:textId="0C0D248D" w:rsidR="007E7D5A" w:rsidRDefault="006B357F" w:rsidP="009C39F2">
      <w:pPr>
        <w:pStyle w:val="Balk2"/>
        <w:spacing w:before="0"/>
        <w:jc w:val="both"/>
      </w:pPr>
      <w:r>
        <w:rPr>
          <w:rFonts w:asciiTheme="minorHAnsi" w:hAnsiTheme="minorHAnsi" w:cs="Arial"/>
          <w:color w:val="0070C0"/>
          <w:sz w:val="28"/>
        </w:rPr>
        <w:t>2018</w:t>
      </w:r>
      <w:r w:rsidR="00926357" w:rsidRPr="00926357">
        <w:rPr>
          <w:rFonts w:asciiTheme="minorHAnsi" w:hAnsiTheme="minorHAnsi" w:cs="Arial"/>
          <w:color w:val="0070C0"/>
          <w:sz w:val="28"/>
        </w:rPr>
        <w:t xml:space="preserve"> yılında pe</w:t>
      </w:r>
      <w:r>
        <w:rPr>
          <w:rFonts w:asciiTheme="minorHAnsi" w:hAnsiTheme="minorHAnsi" w:cs="Arial"/>
          <w:color w:val="0070C0"/>
          <w:sz w:val="28"/>
        </w:rPr>
        <w:t>rakendecilerin iş hacimleri 2017 yılına göre arttı</w:t>
      </w:r>
      <w:r w:rsidR="00926357">
        <w:t xml:space="preserve"> </w:t>
      </w:r>
    </w:p>
    <w:p w14:paraId="04DC8ADD" w14:textId="374413E3" w:rsidR="00601707" w:rsidRDefault="002A2C79" w:rsidP="006B357F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İ</w:t>
      </w:r>
      <w:r w:rsidR="00E06B54" w:rsidRPr="00E10D55">
        <w:rPr>
          <w:rFonts w:asciiTheme="minorHAnsi" w:hAnsiTheme="minorHAnsi" w:cs="Arial"/>
          <w:b w:val="0"/>
          <w:color w:val="0070C0"/>
          <w:sz w:val="24"/>
        </w:rPr>
        <w:t>şlerin geçen yılın</w:t>
      </w:r>
      <w:r w:rsidR="00E06B54">
        <w:rPr>
          <w:rFonts w:asciiTheme="minorHAnsi" w:hAnsiTheme="minorHAnsi" w:cs="Arial"/>
          <w:b w:val="0"/>
          <w:color w:val="0070C0"/>
          <w:sz w:val="24"/>
        </w:rPr>
        <w:t xml:space="preserve"> aynı dönemine göre durumu</w:t>
      </w:r>
      <w:r w:rsidR="00601707">
        <w:rPr>
          <w:rFonts w:asciiTheme="minorHAnsi" w:hAnsiTheme="minorHAnsi" w:cs="Arial"/>
          <w:b w:val="0"/>
          <w:color w:val="0070C0"/>
          <w:sz w:val="24"/>
        </w:rPr>
        <w:t>na</w:t>
      </w:r>
      <w:r w:rsidR="00E06B54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B357F">
        <w:rPr>
          <w:rFonts w:asciiTheme="minorHAnsi" w:hAnsiTheme="minorHAnsi" w:cs="Arial"/>
          <w:b w:val="0"/>
          <w:color w:val="0070C0"/>
          <w:sz w:val="24"/>
        </w:rPr>
        <w:t>2018 ve 2017</w:t>
      </w:r>
      <w:r w:rsidR="00926357" w:rsidRPr="00926357">
        <w:rPr>
          <w:rFonts w:asciiTheme="minorHAnsi" w:hAnsiTheme="minorHAnsi" w:cs="Arial"/>
          <w:b w:val="0"/>
          <w:color w:val="0070C0"/>
          <w:sz w:val="24"/>
        </w:rPr>
        <w:t xml:space="preserve"> yıllar</w:t>
      </w:r>
      <w:r w:rsidR="006B357F">
        <w:rPr>
          <w:rFonts w:asciiTheme="minorHAnsi" w:hAnsiTheme="minorHAnsi" w:cs="Arial"/>
          <w:b w:val="0"/>
          <w:color w:val="0070C0"/>
          <w:sz w:val="24"/>
        </w:rPr>
        <w:t>ı itibari ile bakıldığında, 2018</w:t>
      </w:r>
      <w:r w:rsidR="00926357" w:rsidRPr="00926357">
        <w:rPr>
          <w:rFonts w:asciiTheme="minorHAnsi" w:hAnsiTheme="minorHAnsi" w:cs="Arial"/>
          <w:b w:val="0"/>
          <w:color w:val="0070C0"/>
          <w:sz w:val="24"/>
        </w:rPr>
        <w:t xml:space="preserve"> yılı değerleri </w:t>
      </w:r>
      <w:r w:rsidR="006B357F">
        <w:rPr>
          <w:rFonts w:asciiTheme="minorHAnsi" w:hAnsiTheme="minorHAnsi" w:cs="Arial"/>
          <w:b w:val="0"/>
          <w:color w:val="0070C0"/>
          <w:sz w:val="24"/>
        </w:rPr>
        <w:t xml:space="preserve">Eylül, </w:t>
      </w:r>
      <w:r w:rsidR="007C386B">
        <w:rPr>
          <w:rFonts w:asciiTheme="minorHAnsi" w:hAnsiTheme="minorHAnsi" w:cs="Arial"/>
          <w:b w:val="0"/>
          <w:color w:val="0070C0"/>
          <w:sz w:val="24"/>
        </w:rPr>
        <w:t>Ekim</w:t>
      </w:r>
      <w:r w:rsidR="00926357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6B357F">
        <w:rPr>
          <w:rFonts w:asciiTheme="minorHAnsi" w:hAnsiTheme="minorHAnsi" w:cs="Arial"/>
          <w:b w:val="0"/>
          <w:color w:val="0070C0"/>
          <w:sz w:val="24"/>
        </w:rPr>
        <w:t>Kasım</w:t>
      </w:r>
      <w:r w:rsidR="009263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C386B">
        <w:rPr>
          <w:rFonts w:asciiTheme="minorHAnsi" w:hAnsiTheme="minorHAnsi" w:cs="Arial"/>
          <w:b w:val="0"/>
          <w:color w:val="0070C0"/>
          <w:sz w:val="24"/>
        </w:rPr>
        <w:t>aylarında 201</w:t>
      </w:r>
      <w:r w:rsidR="006B357F">
        <w:rPr>
          <w:rFonts w:asciiTheme="minorHAnsi" w:hAnsiTheme="minorHAnsi" w:cs="Arial"/>
          <w:b w:val="0"/>
          <w:color w:val="0070C0"/>
          <w:sz w:val="24"/>
        </w:rPr>
        <w:t>7’den düşük</w:t>
      </w:r>
      <w:r w:rsidR="00926357" w:rsidRPr="00926357">
        <w:rPr>
          <w:rFonts w:asciiTheme="minorHAnsi" w:hAnsiTheme="minorHAnsi" w:cs="Arial"/>
          <w:b w:val="0"/>
          <w:color w:val="0070C0"/>
          <w:sz w:val="24"/>
        </w:rPr>
        <w:t xml:space="preserve"> değer aldı</w:t>
      </w:r>
      <w:r w:rsidR="00601707">
        <w:rPr>
          <w:rFonts w:asciiTheme="minorHAnsi" w:hAnsiTheme="minorHAnsi" w:cs="Arial"/>
          <w:b w:val="0"/>
          <w:color w:val="0070C0"/>
          <w:sz w:val="24"/>
        </w:rPr>
        <w:t>ğı görüldü</w:t>
      </w:r>
      <w:r w:rsidR="00926357" w:rsidRPr="00926357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6B357F">
        <w:rPr>
          <w:rFonts w:asciiTheme="minorHAnsi" w:hAnsiTheme="minorHAnsi" w:cs="Arial"/>
          <w:b w:val="0"/>
          <w:color w:val="0070C0"/>
          <w:sz w:val="24"/>
        </w:rPr>
        <w:t>2017 yılı ortalaması -40,3 puan iken, 2018 yılı ortalaması -36,0</w:t>
      </w:r>
      <w:r w:rsidR="00926357">
        <w:rPr>
          <w:rFonts w:asciiTheme="minorHAnsi" w:hAnsiTheme="minorHAnsi" w:cs="Arial"/>
          <w:b w:val="0"/>
          <w:color w:val="0070C0"/>
          <w:sz w:val="24"/>
        </w:rPr>
        <w:t xml:space="preserve"> puan oldu</w:t>
      </w:r>
      <w:r w:rsidR="00601707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6B357F">
        <w:rPr>
          <w:rFonts w:asciiTheme="minorHAnsi" w:hAnsiTheme="minorHAnsi" w:cs="Arial"/>
          <w:b w:val="0"/>
          <w:color w:val="0070C0"/>
          <w:sz w:val="24"/>
        </w:rPr>
        <w:t xml:space="preserve"> 2018</w:t>
      </w:r>
      <w:r w:rsidR="00926357">
        <w:rPr>
          <w:rFonts w:asciiTheme="minorHAnsi" w:hAnsiTheme="minorHAnsi" w:cs="Arial"/>
          <w:b w:val="0"/>
          <w:color w:val="0070C0"/>
          <w:sz w:val="24"/>
        </w:rPr>
        <w:t xml:space="preserve"> yılının i</w:t>
      </w:r>
      <w:r w:rsidR="006B357F">
        <w:rPr>
          <w:rFonts w:asciiTheme="minorHAnsi" w:hAnsiTheme="minorHAnsi" w:cs="Arial"/>
          <w:b w:val="0"/>
          <w:color w:val="0070C0"/>
          <w:sz w:val="24"/>
        </w:rPr>
        <w:t>ş hacmi 2017</w:t>
      </w:r>
      <w:r w:rsidR="00926357">
        <w:rPr>
          <w:rFonts w:asciiTheme="minorHAnsi" w:hAnsiTheme="minorHAnsi" w:cs="Arial"/>
          <w:b w:val="0"/>
          <w:color w:val="0070C0"/>
          <w:sz w:val="24"/>
        </w:rPr>
        <w:t xml:space="preserve"> yılın</w:t>
      </w:r>
      <w:r w:rsidR="006B357F">
        <w:rPr>
          <w:rFonts w:asciiTheme="minorHAnsi" w:hAnsiTheme="minorHAnsi" w:cs="Arial"/>
          <w:b w:val="0"/>
          <w:color w:val="0070C0"/>
          <w:sz w:val="24"/>
        </w:rPr>
        <w:t>dan daha iyi</w:t>
      </w:r>
      <w:r w:rsidR="00926357" w:rsidRPr="00926357">
        <w:rPr>
          <w:rFonts w:asciiTheme="minorHAnsi" w:hAnsiTheme="minorHAnsi" w:cs="Arial"/>
          <w:b w:val="0"/>
          <w:color w:val="0070C0"/>
          <w:sz w:val="24"/>
        </w:rPr>
        <w:t xml:space="preserve"> performans gösterdi. Çeyreklik dönemler bazında geçen yıla göre işl</w:t>
      </w:r>
      <w:r w:rsidR="00926357">
        <w:rPr>
          <w:rFonts w:asciiTheme="minorHAnsi" w:hAnsiTheme="minorHAnsi" w:cs="Arial"/>
          <w:b w:val="0"/>
          <w:color w:val="0070C0"/>
          <w:sz w:val="24"/>
        </w:rPr>
        <w:t>erin durumu i</w:t>
      </w:r>
      <w:r w:rsidR="006B357F">
        <w:rPr>
          <w:rFonts w:asciiTheme="minorHAnsi" w:hAnsiTheme="minorHAnsi" w:cs="Arial"/>
          <w:b w:val="0"/>
          <w:color w:val="0070C0"/>
          <w:sz w:val="24"/>
        </w:rPr>
        <w:t>ncelendiğinde, son çeyrekte 2018</w:t>
      </w:r>
      <w:r w:rsidR="007C386B">
        <w:rPr>
          <w:rFonts w:asciiTheme="minorHAnsi" w:hAnsiTheme="minorHAnsi" w:cs="Arial"/>
          <w:b w:val="0"/>
          <w:color w:val="0070C0"/>
          <w:sz w:val="24"/>
        </w:rPr>
        <w:t xml:space="preserve"> yılı değerleri 201</w:t>
      </w:r>
      <w:r w:rsidR="006B357F">
        <w:rPr>
          <w:rFonts w:asciiTheme="minorHAnsi" w:hAnsiTheme="minorHAnsi" w:cs="Arial"/>
          <w:b w:val="0"/>
          <w:color w:val="0070C0"/>
          <w:sz w:val="24"/>
        </w:rPr>
        <w:t>7</w:t>
      </w:r>
      <w:r w:rsidR="00926357">
        <w:rPr>
          <w:rFonts w:asciiTheme="minorHAnsi" w:hAnsiTheme="minorHAnsi" w:cs="Arial"/>
          <w:b w:val="0"/>
          <w:color w:val="0070C0"/>
          <w:sz w:val="24"/>
        </w:rPr>
        <w:t xml:space="preserve"> yılı değerlerinin </w:t>
      </w:r>
      <w:r w:rsidR="006B357F">
        <w:rPr>
          <w:rFonts w:asciiTheme="minorHAnsi" w:hAnsiTheme="minorHAnsi" w:cs="Arial"/>
          <w:b w:val="0"/>
          <w:color w:val="0070C0"/>
          <w:sz w:val="24"/>
        </w:rPr>
        <w:t>altında</w:t>
      </w:r>
      <w:r w:rsidR="00FE1A7B">
        <w:rPr>
          <w:rFonts w:asciiTheme="minorHAnsi" w:hAnsiTheme="minorHAnsi" w:cs="Arial"/>
          <w:b w:val="0"/>
          <w:color w:val="0070C0"/>
          <w:sz w:val="24"/>
        </w:rPr>
        <w:t xml:space="preserve"> yer aldı</w:t>
      </w:r>
      <w:r w:rsidR="00926357" w:rsidRPr="00926357">
        <w:rPr>
          <w:rFonts w:asciiTheme="minorHAnsi" w:hAnsiTheme="minorHAnsi" w:cs="Arial"/>
          <w:b w:val="0"/>
          <w:color w:val="0070C0"/>
          <w:sz w:val="24"/>
        </w:rPr>
        <w:t>.</w:t>
      </w:r>
      <w:r w:rsidR="00601707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5F4CFA9C" w14:textId="77777777" w:rsidR="00601707" w:rsidRDefault="00601707" w:rsidP="009C39F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</w:p>
    <w:p w14:paraId="118DCF20" w14:textId="7E822906" w:rsidR="00601707" w:rsidRPr="00477A2B" w:rsidRDefault="006B357F" w:rsidP="006B357F">
      <w:pPr>
        <w:jc w:val="both"/>
        <w:rPr>
          <w:b/>
        </w:rPr>
      </w:pPr>
      <w:r>
        <w:rPr>
          <w:rFonts w:asciiTheme="minorHAnsi" w:hAnsiTheme="minorHAnsi" w:cs="Arial"/>
          <w:color w:val="0070C0"/>
          <w:sz w:val="24"/>
        </w:rPr>
        <w:t>Aralık 2018’de ise endeks -33,5</w:t>
      </w:r>
      <w:r w:rsidR="00601707" w:rsidRPr="00E10D55">
        <w:rPr>
          <w:rFonts w:asciiTheme="minorHAnsi" w:hAnsiTheme="minorHAnsi" w:cs="Arial"/>
          <w:color w:val="0070C0"/>
          <w:sz w:val="24"/>
        </w:rPr>
        <w:t xml:space="preserve"> puan değerini </w:t>
      </w:r>
      <w:r w:rsidR="00FE1A7B">
        <w:rPr>
          <w:rFonts w:asciiTheme="minorHAnsi" w:hAnsiTheme="minorHAnsi" w:cs="Arial"/>
          <w:color w:val="0070C0"/>
          <w:sz w:val="24"/>
        </w:rPr>
        <w:t>alarak, Kasım</w:t>
      </w:r>
      <w:r>
        <w:rPr>
          <w:rFonts w:asciiTheme="minorHAnsi" w:hAnsiTheme="minorHAnsi" w:cs="Arial"/>
          <w:color w:val="0070C0"/>
          <w:sz w:val="24"/>
        </w:rPr>
        <w:t xml:space="preserve"> 2018’</w:t>
      </w:r>
      <w:r w:rsidR="00FE1A7B">
        <w:rPr>
          <w:rFonts w:asciiTheme="minorHAnsi" w:hAnsiTheme="minorHAnsi" w:cs="Arial"/>
          <w:color w:val="0070C0"/>
          <w:sz w:val="24"/>
        </w:rPr>
        <w:t xml:space="preserve">e göre </w:t>
      </w:r>
      <w:r>
        <w:rPr>
          <w:rFonts w:asciiTheme="minorHAnsi" w:hAnsiTheme="minorHAnsi" w:cs="Arial"/>
          <w:color w:val="0070C0"/>
          <w:sz w:val="24"/>
        </w:rPr>
        <w:t>25,5 puan, Aralık 2017’ye göre ise 11,2</w:t>
      </w:r>
      <w:r w:rsidR="00FE1A7B">
        <w:rPr>
          <w:rFonts w:asciiTheme="minorHAnsi" w:hAnsiTheme="minorHAnsi" w:cs="Arial"/>
          <w:color w:val="0070C0"/>
          <w:sz w:val="24"/>
        </w:rPr>
        <w:t xml:space="preserve"> puan arttı</w:t>
      </w:r>
      <w:r w:rsidR="00601707" w:rsidRPr="00E10D55">
        <w:rPr>
          <w:rFonts w:asciiTheme="minorHAnsi" w:hAnsiTheme="minorHAnsi" w:cs="Arial"/>
          <w:color w:val="0070C0"/>
          <w:sz w:val="24"/>
        </w:rPr>
        <w:t>.</w:t>
      </w:r>
      <w:r w:rsidR="00601707">
        <w:rPr>
          <w:rFonts w:asciiTheme="minorHAnsi" w:hAnsiTheme="minorHAnsi" w:cs="Arial"/>
          <w:color w:val="0070C0"/>
          <w:sz w:val="24"/>
        </w:rPr>
        <w:t xml:space="preserve"> </w:t>
      </w:r>
      <w:r w:rsidR="00E06B54" w:rsidRPr="00DE03DF">
        <w:rPr>
          <w:rFonts w:asciiTheme="minorHAnsi" w:hAnsiTheme="minorHAnsi" w:cs="Arial"/>
          <w:color w:val="0070C0"/>
          <w:sz w:val="24"/>
        </w:rPr>
        <w:t xml:space="preserve">TEPE anketi katılımcılarının yüzde </w:t>
      </w:r>
      <w:r>
        <w:rPr>
          <w:rFonts w:asciiTheme="minorHAnsi" w:hAnsiTheme="minorHAnsi" w:cs="Arial"/>
          <w:color w:val="0070C0"/>
          <w:sz w:val="24"/>
        </w:rPr>
        <w:t>22,1</w:t>
      </w:r>
      <w:r w:rsidR="00E06B54" w:rsidRPr="00DE03DF">
        <w:rPr>
          <w:rFonts w:asciiTheme="minorHAnsi" w:hAnsiTheme="minorHAnsi" w:cs="Arial"/>
          <w:color w:val="0070C0"/>
          <w:sz w:val="24"/>
        </w:rPr>
        <w:t>’</w:t>
      </w:r>
      <w:r w:rsidR="00FE1A7B">
        <w:rPr>
          <w:rFonts w:asciiTheme="minorHAnsi" w:hAnsiTheme="minorHAnsi" w:cs="Arial"/>
          <w:color w:val="0070C0"/>
          <w:sz w:val="24"/>
        </w:rPr>
        <w:t>i</w:t>
      </w:r>
      <w:r w:rsidR="00E06B54" w:rsidRPr="00DE03DF">
        <w:rPr>
          <w:rFonts w:asciiTheme="minorHAnsi" w:hAnsiTheme="minorHAnsi" w:cs="Arial"/>
          <w:color w:val="0070C0"/>
          <w:sz w:val="24"/>
        </w:rPr>
        <w:t xml:space="preserve"> geçen yılın aynı dönemine göre işlerinde artış olduğunu belirtirken, işlerinde düşüş olduğunu belirtenlerin oranı yüzde </w:t>
      </w:r>
      <w:r>
        <w:rPr>
          <w:rFonts w:asciiTheme="minorHAnsi" w:hAnsiTheme="minorHAnsi" w:cs="Arial"/>
          <w:color w:val="0070C0"/>
          <w:sz w:val="24"/>
        </w:rPr>
        <w:t>55,6</w:t>
      </w:r>
      <w:r w:rsidR="00E06B54" w:rsidRPr="00DE03DF">
        <w:rPr>
          <w:rFonts w:asciiTheme="minorHAnsi" w:hAnsiTheme="minorHAnsi" w:cs="Arial"/>
          <w:color w:val="0070C0"/>
          <w:sz w:val="24"/>
        </w:rPr>
        <w:t xml:space="preserve"> olarak belirlendi. Geçen yıla göre işlerinde bir değişiklik olmadığını belirtenlerin oranı ise</w:t>
      </w:r>
      <w:r w:rsidR="00E06B54">
        <w:rPr>
          <w:rFonts w:asciiTheme="minorHAnsi" w:hAnsiTheme="minorHAnsi" w:cs="Arial"/>
          <w:color w:val="0070C0"/>
          <w:sz w:val="24"/>
        </w:rPr>
        <w:t>,</w:t>
      </w:r>
      <w:r w:rsidR="00E06B54" w:rsidRPr="00DE03DF">
        <w:rPr>
          <w:rFonts w:asciiTheme="minorHAnsi" w:hAnsiTheme="minorHAnsi" w:cs="Arial"/>
          <w:color w:val="0070C0"/>
          <w:sz w:val="24"/>
        </w:rPr>
        <w:t xml:space="preserve"> yüzde </w:t>
      </w:r>
      <w:r>
        <w:rPr>
          <w:rFonts w:asciiTheme="minorHAnsi" w:hAnsiTheme="minorHAnsi" w:cs="Arial"/>
          <w:color w:val="0070C0"/>
          <w:sz w:val="24"/>
        </w:rPr>
        <w:t>22,4</w:t>
      </w:r>
      <w:r w:rsidR="00E06B54">
        <w:rPr>
          <w:rFonts w:asciiTheme="minorHAnsi" w:hAnsiTheme="minorHAnsi" w:cs="Arial"/>
          <w:color w:val="0070C0"/>
          <w:sz w:val="24"/>
        </w:rPr>
        <w:t xml:space="preserve"> </w:t>
      </w:r>
      <w:r w:rsidR="00E06B54" w:rsidRPr="00DE03DF">
        <w:rPr>
          <w:rFonts w:asciiTheme="minorHAnsi" w:hAnsiTheme="minorHAnsi" w:cs="Arial"/>
          <w:color w:val="0070C0"/>
          <w:sz w:val="24"/>
        </w:rPr>
        <w:t>oldu.</w:t>
      </w:r>
      <w:r w:rsidR="00E06B54">
        <w:rPr>
          <w:rFonts w:asciiTheme="minorHAnsi" w:hAnsiTheme="minorHAnsi" w:cs="Arial"/>
          <w:color w:val="0070C0"/>
          <w:sz w:val="24"/>
        </w:rPr>
        <w:t xml:space="preserve"> </w:t>
      </w:r>
    </w:p>
    <w:p w14:paraId="56600778" w14:textId="77777777" w:rsidR="009C39F2" w:rsidRPr="009C39F2" w:rsidRDefault="009C39F2" w:rsidP="00477A2B">
      <w:pPr>
        <w:pStyle w:val="Balk2"/>
        <w:spacing w:before="0"/>
        <w:jc w:val="both"/>
      </w:pPr>
    </w:p>
    <w:p w14:paraId="60CFDE87" w14:textId="2125A105" w:rsidR="00DC404B" w:rsidRPr="005C255D" w:rsidRDefault="005C255D" w:rsidP="006B357F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5B326E">
        <w:rPr>
          <w:rFonts w:asciiTheme="minorHAnsi" w:hAnsiTheme="minorHAnsi"/>
          <w:b/>
        </w:rPr>
        <w:t>Şekil-</w:t>
      </w:r>
      <w:r w:rsidR="00601707">
        <w:rPr>
          <w:rFonts w:asciiTheme="minorHAnsi" w:hAnsiTheme="minorHAnsi"/>
          <w:b/>
        </w:rPr>
        <w:t>4</w:t>
      </w:r>
      <w:r w:rsidRPr="005B326E">
        <w:rPr>
          <w:rFonts w:asciiTheme="minorHAnsi" w:hAnsiTheme="minorHAnsi"/>
          <w:b/>
        </w:rPr>
        <w:t>.</w:t>
      </w:r>
      <w:r w:rsidRPr="005B326E">
        <w:rPr>
          <w:rFonts w:asciiTheme="minorHAnsi" w:hAnsiTheme="minorHAnsi"/>
        </w:rPr>
        <w:t xml:space="preserve"> İşlerin geçen yı</w:t>
      </w:r>
      <w:r>
        <w:rPr>
          <w:rFonts w:asciiTheme="minorHAnsi" w:hAnsiTheme="minorHAnsi"/>
        </w:rPr>
        <w:t xml:space="preserve">lın aynı dönemine göre durumu </w:t>
      </w:r>
      <w:r w:rsidRPr="005B326E">
        <w:rPr>
          <w:rFonts w:asciiTheme="minorHAnsi" w:hAnsiTheme="minorHAnsi"/>
        </w:rPr>
        <w:t>(</w:t>
      </w:r>
      <w:r w:rsidR="005410D7">
        <w:rPr>
          <w:rFonts w:asciiTheme="minorHAnsi" w:hAnsiTheme="minorHAnsi"/>
        </w:rPr>
        <w:t>Ocak – Aralık; 201</w:t>
      </w:r>
      <w:r w:rsidR="006B357F">
        <w:rPr>
          <w:rFonts w:asciiTheme="minorHAnsi" w:hAnsiTheme="minorHAnsi"/>
        </w:rPr>
        <w:t>7 – 2018</w:t>
      </w:r>
      <w:r w:rsidRPr="005B326E">
        <w:rPr>
          <w:rFonts w:asciiTheme="minorHAnsi" w:hAnsiTheme="minorHAnsi"/>
        </w:rPr>
        <w:t>)</w:t>
      </w:r>
    </w:p>
    <w:p w14:paraId="6824394F" w14:textId="0BF74351" w:rsidR="00815273" w:rsidRDefault="006B357F" w:rsidP="00815273">
      <w:r>
        <w:rPr>
          <w:noProof/>
          <w:lang w:eastAsia="tr-TR"/>
        </w:rPr>
        <w:drawing>
          <wp:inline distT="0" distB="0" distL="0" distR="0" wp14:anchorId="27DE32B3" wp14:editId="124BC051">
            <wp:extent cx="5715000" cy="2743200"/>
            <wp:effectExtent l="0" t="0" r="19050" b="1905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4FAFB5" w14:textId="77777777" w:rsidR="00601707" w:rsidRDefault="00601707" w:rsidP="00601707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62145743" w14:textId="77777777" w:rsidR="00601707" w:rsidRPr="003127E7" w:rsidRDefault="00601707" w:rsidP="0060170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FC4133">
        <w:rPr>
          <w:rFonts w:asciiTheme="minorHAnsi" w:hAnsiTheme="minorHAnsi"/>
          <w:b/>
        </w:rPr>
        <w:t>Tablo-3.</w:t>
      </w:r>
      <w:r w:rsidRPr="00FC4133">
        <w:rPr>
          <w:rFonts w:asciiTheme="minorHAnsi" w:hAnsiTheme="minorHAnsi"/>
        </w:rPr>
        <w:t xml:space="preserve"> İşlerin geçen yılın aynı dönemine göre durumu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601707" w:rsidRPr="003127E7" w14:paraId="15E4CBF0" w14:textId="77777777" w:rsidTr="00AD2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164A10C" w14:textId="77777777" w:rsidR="00601707" w:rsidRPr="00847C02" w:rsidRDefault="00601707" w:rsidP="00AD20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4C831EED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5D465492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E274326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7347E809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289D9C61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4184F980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2564692F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18240712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392FEC98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7E945FC0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1D2A5578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7C1D94DD" w14:textId="77777777" w:rsidR="00601707" w:rsidRPr="00583AF6" w:rsidRDefault="00601707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eastAsia="tr-TR"/>
              </w:rPr>
            </w:pPr>
            <w:r w:rsidRPr="00583AF6">
              <w:rPr>
                <w:rFonts w:cs="Calibri"/>
                <w:b w:val="0"/>
                <w:bCs w:val="0"/>
                <w:color w:val="000000"/>
                <w:lang w:eastAsia="tr-TR"/>
              </w:rPr>
              <w:t>Aralık</w:t>
            </w:r>
          </w:p>
        </w:tc>
      </w:tr>
      <w:tr w:rsidR="006B357F" w:rsidRPr="003127E7" w14:paraId="38B48C1B" w14:textId="77777777" w:rsidTr="00AD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05706E2A" w14:textId="30E8EA67" w:rsidR="006B357F" w:rsidRPr="00847C02" w:rsidRDefault="006B357F" w:rsidP="00921E3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</w:t>
            </w:r>
            <w:r w:rsidR="00921E39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6</w:t>
            </w:r>
          </w:p>
        </w:tc>
        <w:tc>
          <w:tcPr>
            <w:tcW w:w="741" w:type="dxa"/>
            <w:noWrap/>
            <w:vAlign w:val="bottom"/>
            <w:hideMark/>
          </w:tcPr>
          <w:p w14:paraId="453EE8AC" w14:textId="443F915D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-21,2</w:t>
            </w:r>
          </w:p>
        </w:tc>
        <w:tc>
          <w:tcPr>
            <w:tcW w:w="807" w:type="dxa"/>
            <w:noWrap/>
            <w:vAlign w:val="bottom"/>
            <w:hideMark/>
          </w:tcPr>
          <w:p w14:paraId="1970D6CB" w14:textId="1F0DBC6C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-32,6</w:t>
            </w:r>
          </w:p>
        </w:tc>
        <w:tc>
          <w:tcPr>
            <w:tcW w:w="708" w:type="dxa"/>
            <w:noWrap/>
            <w:vAlign w:val="bottom"/>
            <w:hideMark/>
          </w:tcPr>
          <w:p w14:paraId="18ECE817" w14:textId="0A676F88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  <w:hideMark/>
          </w:tcPr>
          <w:p w14:paraId="539072A0" w14:textId="3779A49A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-13,6</w:t>
            </w:r>
          </w:p>
        </w:tc>
        <w:tc>
          <w:tcPr>
            <w:tcW w:w="808" w:type="dxa"/>
            <w:noWrap/>
            <w:vAlign w:val="bottom"/>
            <w:hideMark/>
          </w:tcPr>
          <w:p w14:paraId="678A4DC6" w14:textId="05DC039C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-27,6</w:t>
            </w:r>
          </w:p>
        </w:tc>
        <w:tc>
          <w:tcPr>
            <w:tcW w:w="974" w:type="dxa"/>
            <w:noWrap/>
            <w:vAlign w:val="bottom"/>
            <w:hideMark/>
          </w:tcPr>
          <w:p w14:paraId="3FD6831D" w14:textId="14DC3C58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-35,2</w:t>
            </w:r>
          </w:p>
        </w:tc>
        <w:tc>
          <w:tcPr>
            <w:tcW w:w="1063" w:type="dxa"/>
            <w:noWrap/>
            <w:vAlign w:val="bottom"/>
            <w:hideMark/>
          </w:tcPr>
          <w:p w14:paraId="2370D5BD" w14:textId="0B261ACB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-22,8</w:t>
            </w:r>
          </w:p>
        </w:tc>
        <w:tc>
          <w:tcPr>
            <w:tcW w:w="1052" w:type="dxa"/>
            <w:noWrap/>
            <w:vAlign w:val="bottom"/>
            <w:hideMark/>
          </w:tcPr>
          <w:p w14:paraId="3AC48435" w14:textId="286A89E6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-27,5</w:t>
            </w:r>
          </w:p>
        </w:tc>
        <w:tc>
          <w:tcPr>
            <w:tcW w:w="730" w:type="dxa"/>
            <w:noWrap/>
            <w:vAlign w:val="bottom"/>
            <w:hideMark/>
          </w:tcPr>
          <w:p w14:paraId="2010C936" w14:textId="17C458E8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-37,5</w:t>
            </w:r>
          </w:p>
        </w:tc>
        <w:tc>
          <w:tcPr>
            <w:tcW w:w="730" w:type="dxa"/>
            <w:noWrap/>
            <w:vAlign w:val="bottom"/>
            <w:hideMark/>
          </w:tcPr>
          <w:p w14:paraId="3F03DBEF" w14:textId="4D333726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-42,7</w:t>
            </w:r>
          </w:p>
        </w:tc>
        <w:tc>
          <w:tcPr>
            <w:tcW w:w="852" w:type="dxa"/>
            <w:noWrap/>
            <w:vAlign w:val="bottom"/>
            <w:hideMark/>
          </w:tcPr>
          <w:p w14:paraId="121925F6" w14:textId="2743FA64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-45,3</w:t>
            </w:r>
          </w:p>
        </w:tc>
        <w:tc>
          <w:tcPr>
            <w:tcW w:w="808" w:type="dxa"/>
            <w:noWrap/>
            <w:vAlign w:val="bottom"/>
            <w:hideMark/>
          </w:tcPr>
          <w:p w14:paraId="69D20271" w14:textId="1DC8E39C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-49,6</w:t>
            </w:r>
          </w:p>
        </w:tc>
      </w:tr>
      <w:tr w:rsidR="006B357F" w:rsidRPr="003127E7" w14:paraId="47635BBF" w14:textId="77777777" w:rsidTr="00AD2048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016FC699" w14:textId="1DB08B37" w:rsidR="006B357F" w:rsidRDefault="00921E39" w:rsidP="00AD20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  <w:hideMark/>
          </w:tcPr>
          <w:p w14:paraId="38228671" w14:textId="3C83338B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-43,3</w:t>
            </w:r>
          </w:p>
        </w:tc>
        <w:tc>
          <w:tcPr>
            <w:tcW w:w="807" w:type="dxa"/>
            <w:noWrap/>
            <w:vAlign w:val="bottom"/>
            <w:hideMark/>
          </w:tcPr>
          <w:p w14:paraId="1F8C72FF" w14:textId="619AA402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708" w:type="dxa"/>
            <w:noWrap/>
            <w:vAlign w:val="bottom"/>
            <w:hideMark/>
          </w:tcPr>
          <w:p w14:paraId="6A246CB0" w14:textId="100E502E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-41,3</w:t>
            </w:r>
          </w:p>
        </w:tc>
        <w:tc>
          <w:tcPr>
            <w:tcW w:w="808" w:type="dxa"/>
            <w:noWrap/>
            <w:vAlign w:val="bottom"/>
            <w:hideMark/>
          </w:tcPr>
          <w:p w14:paraId="126A83CB" w14:textId="39BB00D2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-38,6</w:t>
            </w:r>
          </w:p>
        </w:tc>
        <w:tc>
          <w:tcPr>
            <w:tcW w:w="808" w:type="dxa"/>
            <w:noWrap/>
            <w:vAlign w:val="bottom"/>
            <w:hideMark/>
          </w:tcPr>
          <w:p w14:paraId="1B4EACC9" w14:textId="705E76D7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-39,4</w:t>
            </w:r>
          </w:p>
        </w:tc>
        <w:tc>
          <w:tcPr>
            <w:tcW w:w="974" w:type="dxa"/>
            <w:noWrap/>
            <w:vAlign w:val="bottom"/>
            <w:hideMark/>
          </w:tcPr>
          <w:p w14:paraId="34474AAD" w14:textId="2FE85FD9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-41,6</w:t>
            </w:r>
          </w:p>
        </w:tc>
        <w:tc>
          <w:tcPr>
            <w:tcW w:w="1063" w:type="dxa"/>
            <w:noWrap/>
            <w:vAlign w:val="bottom"/>
            <w:hideMark/>
          </w:tcPr>
          <w:p w14:paraId="2E089668" w14:textId="440B8B12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-38,5</w:t>
            </w:r>
          </w:p>
        </w:tc>
        <w:tc>
          <w:tcPr>
            <w:tcW w:w="1052" w:type="dxa"/>
            <w:noWrap/>
            <w:vAlign w:val="bottom"/>
            <w:hideMark/>
          </w:tcPr>
          <w:p w14:paraId="1A7ED92B" w14:textId="63F97F3D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-36,6</w:t>
            </w:r>
          </w:p>
        </w:tc>
        <w:tc>
          <w:tcPr>
            <w:tcW w:w="730" w:type="dxa"/>
            <w:noWrap/>
            <w:vAlign w:val="bottom"/>
            <w:hideMark/>
          </w:tcPr>
          <w:p w14:paraId="0F5E01BE" w14:textId="29E9DD37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-39,8</w:t>
            </w:r>
          </w:p>
        </w:tc>
        <w:tc>
          <w:tcPr>
            <w:tcW w:w="730" w:type="dxa"/>
            <w:noWrap/>
            <w:vAlign w:val="bottom"/>
            <w:hideMark/>
          </w:tcPr>
          <w:p w14:paraId="24759591" w14:textId="04160BD9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852" w:type="dxa"/>
            <w:noWrap/>
            <w:vAlign w:val="bottom"/>
            <w:hideMark/>
          </w:tcPr>
          <w:p w14:paraId="4DF7905A" w14:textId="62071A93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-45,6</w:t>
            </w:r>
          </w:p>
        </w:tc>
        <w:tc>
          <w:tcPr>
            <w:tcW w:w="808" w:type="dxa"/>
            <w:noWrap/>
            <w:vAlign w:val="bottom"/>
            <w:hideMark/>
          </w:tcPr>
          <w:p w14:paraId="2D699AC6" w14:textId="43DB55EE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</w:tr>
      <w:tr w:rsidR="006B357F" w:rsidRPr="003127E7" w14:paraId="5A5D5C9D" w14:textId="77777777" w:rsidTr="00AD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9C3829B" w14:textId="671BCFCA" w:rsidR="006B357F" w:rsidRDefault="00921E39" w:rsidP="00AD20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6C765470" w14:textId="746F5322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807" w:type="dxa"/>
            <w:noWrap/>
            <w:vAlign w:val="bottom"/>
          </w:tcPr>
          <w:p w14:paraId="12924E9E" w14:textId="2495CE91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08" w:type="dxa"/>
            <w:noWrap/>
            <w:vAlign w:val="bottom"/>
          </w:tcPr>
          <w:p w14:paraId="11DEB5AE" w14:textId="1C156A5F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808" w:type="dxa"/>
            <w:noWrap/>
            <w:vAlign w:val="bottom"/>
          </w:tcPr>
          <w:p w14:paraId="27EC831E" w14:textId="66E0B910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</w:tcPr>
          <w:p w14:paraId="376EE480" w14:textId="699FB5DF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974" w:type="dxa"/>
            <w:noWrap/>
            <w:vAlign w:val="bottom"/>
          </w:tcPr>
          <w:p w14:paraId="3440CABB" w14:textId="3EA6A500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1063" w:type="dxa"/>
            <w:noWrap/>
            <w:vAlign w:val="bottom"/>
          </w:tcPr>
          <w:p w14:paraId="34AE45AB" w14:textId="2AF5A8EF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-30,5</w:t>
            </w:r>
          </w:p>
        </w:tc>
        <w:tc>
          <w:tcPr>
            <w:tcW w:w="1052" w:type="dxa"/>
            <w:noWrap/>
            <w:vAlign w:val="bottom"/>
          </w:tcPr>
          <w:p w14:paraId="1CB393E1" w14:textId="22D10E43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-34,5</w:t>
            </w:r>
          </w:p>
        </w:tc>
        <w:tc>
          <w:tcPr>
            <w:tcW w:w="730" w:type="dxa"/>
            <w:noWrap/>
            <w:vAlign w:val="bottom"/>
          </w:tcPr>
          <w:p w14:paraId="303CE1A7" w14:textId="757D61FD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-43,5</w:t>
            </w:r>
          </w:p>
        </w:tc>
        <w:tc>
          <w:tcPr>
            <w:tcW w:w="730" w:type="dxa"/>
            <w:noWrap/>
            <w:vAlign w:val="bottom"/>
          </w:tcPr>
          <w:p w14:paraId="2AA97F03" w14:textId="3616066D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-54,3</w:t>
            </w:r>
          </w:p>
        </w:tc>
        <w:tc>
          <w:tcPr>
            <w:tcW w:w="852" w:type="dxa"/>
            <w:noWrap/>
            <w:vAlign w:val="bottom"/>
          </w:tcPr>
          <w:p w14:paraId="437A6A89" w14:textId="7D5C0401" w:rsidR="006B357F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808" w:type="dxa"/>
            <w:noWrap/>
            <w:vAlign w:val="bottom"/>
            <w:hideMark/>
          </w:tcPr>
          <w:p w14:paraId="4A55D872" w14:textId="3805FDC6" w:rsidR="006B357F" w:rsidRPr="00583AF6" w:rsidRDefault="006B357F" w:rsidP="00AD2048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</w:tbl>
    <w:p w14:paraId="79F25E30" w14:textId="77777777" w:rsidR="00601707" w:rsidRPr="00815273" w:rsidRDefault="00601707" w:rsidP="00815273"/>
    <w:p w14:paraId="56AD7698" w14:textId="77777777" w:rsidR="009C39F2" w:rsidRDefault="009C39F2" w:rsidP="0020663A">
      <w:pPr>
        <w:pStyle w:val="Balk2"/>
        <w:spacing w:line="240" w:lineRule="auto"/>
        <w:jc w:val="both"/>
        <w:rPr>
          <w:rFonts w:asciiTheme="minorHAnsi" w:hAnsiTheme="minorHAnsi" w:cs="Arial"/>
          <w:color w:val="0070C0"/>
          <w:sz w:val="28"/>
        </w:rPr>
      </w:pPr>
    </w:p>
    <w:p w14:paraId="088E1356" w14:textId="197A42E4" w:rsidR="001574E6" w:rsidRDefault="004946CD" w:rsidP="00450E2F">
      <w:pPr>
        <w:pStyle w:val="Balk2"/>
        <w:spacing w:before="0" w:line="240" w:lineRule="auto"/>
        <w:jc w:val="both"/>
        <w:rPr>
          <w:rFonts w:asciiTheme="minorHAnsi" w:hAnsiTheme="minorHAnsi" w:cs="Arial"/>
          <w:color w:val="0070C0"/>
          <w:sz w:val="28"/>
        </w:rPr>
      </w:pPr>
      <w:r w:rsidRPr="00401DF7">
        <w:rPr>
          <w:rFonts w:asciiTheme="minorHAnsi" w:hAnsiTheme="minorHAnsi" w:cs="Arial"/>
          <w:color w:val="0070C0"/>
          <w:sz w:val="28"/>
        </w:rPr>
        <w:t>P</w:t>
      </w:r>
      <w:r w:rsidR="002C027E" w:rsidRPr="00401DF7">
        <w:rPr>
          <w:rFonts w:asciiTheme="minorHAnsi" w:hAnsiTheme="minorHAnsi" w:cs="Arial"/>
          <w:color w:val="0070C0"/>
          <w:sz w:val="28"/>
        </w:rPr>
        <w:t>erakende güveni</w:t>
      </w:r>
      <w:r w:rsidR="00AD6586" w:rsidRPr="00401DF7">
        <w:rPr>
          <w:rFonts w:asciiTheme="minorHAnsi" w:hAnsiTheme="minorHAnsi" w:cs="Arial"/>
          <w:color w:val="0070C0"/>
          <w:sz w:val="28"/>
        </w:rPr>
        <w:t xml:space="preserve"> </w:t>
      </w:r>
      <w:r w:rsidR="00401DF7">
        <w:rPr>
          <w:rFonts w:asciiTheme="minorHAnsi" w:hAnsiTheme="minorHAnsi" w:cs="Arial"/>
          <w:color w:val="0070C0"/>
          <w:sz w:val="28"/>
        </w:rPr>
        <w:t>en fazla</w:t>
      </w:r>
      <w:r w:rsidR="0063412E" w:rsidRPr="00401DF7">
        <w:rPr>
          <w:rFonts w:asciiTheme="minorHAnsi" w:hAnsiTheme="minorHAnsi" w:cs="Arial"/>
          <w:color w:val="0070C0"/>
          <w:sz w:val="28"/>
        </w:rPr>
        <w:t xml:space="preserve"> </w:t>
      </w:r>
      <w:r w:rsidR="00807899" w:rsidRPr="00401DF7">
        <w:rPr>
          <w:rFonts w:asciiTheme="minorHAnsi" w:hAnsiTheme="minorHAnsi" w:cs="Arial"/>
          <w:color w:val="0070C0"/>
          <w:sz w:val="28"/>
        </w:rPr>
        <w:t>“</w:t>
      </w:r>
      <w:r w:rsidR="00450E2F">
        <w:rPr>
          <w:rFonts w:asciiTheme="minorHAnsi" w:hAnsiTheme="minorHAnsi" w:cs="Arial"/>
          <w:color w:val="0070C0"/>
          <w:sz w:val="28"/>
        </w:rPr>
        <w:t>m</w:t>
      </w:r>
      <w:r w:rsidR="00450E2F" w:rsidRPr="00450E2F">
        <w:rPr>
          <w:rFonts w:asciiTheme="minorHAnsi" w:hAnsiTheme="minorHAnsi" w:cs="Arial"/>
          <w:color w:val="0070C0"/>
          <w:sz w:val="28"/>
        </w:rPr>
        <w:t xml:space="preserve">obilya, aydınlatma </w:t>
      </w:r>
      <w:proofErr w:type="gramStart"/>
      <w:r w:rsidR="00450E2F" w:rsidRPr="00450E2F">
        <w:rPr>
          <w:rFonts w:asciiTheme="minorHAnsi" w:hAnsiTheme="minorHAnsi" w:cs="Arial"/>
          <w:color w:val="0070C0"/>
          <w:sz w:val="28"/>
        </w:rPr>
        <w:t>ekipmanı</w:t>
      </w:r>
      <w:proofErr w:type="gramEnd"/>
      <w:r w:rsidR="00450E2F" w:rsidRPr="00450E2F">
        <w:rPr>
          <w:rFonts w:asciiTheme="minorHAnsi" w:hAnsiTheme="minorHAnsi" w:cs="Arial"/>
          <w:color w:val="0070C0"/>
          <w:sz w:val="28"/>
        </w:rPr>
        <w:t xml:space="preserve"> ve ev içi kullanım ürünleri</w:t>
      </w:r>
      <w:r w:rsidR="002C027E" w:rsidRPr="00401DF7">
        <w:rPr>
          <w:rFonts w:asciiTheme="minorHAnsi" w:hAnsiTheme="minorHAnsi" w:cs="Arial"/>
          <w:color w:val="0070C0"/>
          <w:sz w:val="28"/>
        </w:rPr>
        <w:t>”</w:t>
      </w:r>
      <w:r w:rsidR="008F4521" w:rsidRPr="00401DF7">
        <w:rPr>
          <w:rFonts w:asciiTheme="minorHAnsi" w:hAnsiTheme="minorHAnsi" w:cs="Arial"/>
          <w:color w:val="0070C0"/>
          <w:sz w:val="28"/>
        </w:rPr>
        <w:t xml:space="preserve"> sektörün</w:t>
      </w:r>
      <w:r w:rsidR="006B1A5F" w:rsidRPr="00401DF7">
        <w:rPr>
          <w:rFonts w:asciiTheme="minorHAnsi" w:hAnsiTheme="minorHAnsi" w:cs="Arial"/>
          <w:color w:val="0070C0"/>
          <w:sz w:val="28"/>
        </w:rPr>
        <w:t>de</w:t>
      </w:r>
      <w:r w:rsidR="00FB64EF" w:rsidRPr="00401DF7">
        <w:rPr>
          <w:rFonts w:asciiTheme="minorHAnsi" w:hAnsiTheme="minorHAnsi" w:cs="Arial"/>
          <w:color w:val="0070C0"/>
          <w:sz w:val="28"/>
        </w:rPr>
        <w:t xml:space="preserve"> </w:t>
      </w:r>
      <w:r w:rsidR="00D6345C">
        <w:rPr>
          <w:rFonts w:asciiTheme="minorHAnsi" w:hAnsiTheme="minorHAnsi" w:cs="Arial"/>
          <w:color w:val="0070C0"/>
          <w:sz w:val="28"/>
        </w:rPr>
        <w:t>arttı</w:t>
      </w:r>
    </w:p>
    <w:p w14:paraId="3972173B" w14:textId="547FE5E6" w:rsidR="00EF2053" w:rsidRDefault="00134EF9" w:rsidP="00450E2F">
      <w:pPr>
        <w:pStyle w:val="Balk2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0B4D53">
        <w:rPr>
          <w:rFonts w:asciiTheme="minorHAnsi" w:hAnsiTheme="minorHAnsi" w:cs="Arial"/>
          <w:b w:val="0"/>
          <w:color w:val="0070C0"/>
          <w:sz w:val="24"/>
        </w:rPr>
        <w:t>Perakende güveni</w:t>
      </w:r>
      <w:r w:rsidR="00E01C40" w:rsidRPr="000B4D53">
        <w:rPr>
          <w:rFonts w:asciiTheme="minorHAnsi" w:hAnsiTheme="minorHAnsi" w:cs="Arial"/>
          <w:b w:val="0"/>
          <w:color w:val="0070C0"/>
          <w:sz w:val="24"/>
        </w:rPr>
        <w:t>ne alt sektörler itibar</w:t>
      </w:r>
      <w:r w:rsidR="00DF1173" w:rsidRPr="000B4D53">
        <w:rPr>
          <w:rFonts w:asciiTheme="minorHAnsi" w:hAnsiTheme="minorHAnsi" w:cs="Arial"/>
          <w:b w:val="0"/>
          <w:color w:val="0070C0"/>
          <w:sz w:val="24"/>
        </w:rPr>
        <w:t>ıyla</w:t>
      </w:r>
      <w:r w:rsidR="00A91EF3">
        <w:rPr>
          <w:rFonts w:asciiTheme="minorHAnsi" w:hAnsiTheme="minorHAnsi" w:cs="Arial"/>
          <w:b w:val="0"/>
          <w:color w:val="0070C0"/>
          <w:sz w:val="24"/>
        </w:rPr>
        <w:t xml:space="preserve"> bakıldığında Aralık</w:t>
      </w:r>
      <w:r w:rsidR="00450E2F">
        <w:rPr>
          <w:rFonts w:asciiTheme="minorHAnsi" w:hAnsiTheme="minorHAnsi" w:cs="Arial"/>
          <w:b w:val="0"/>
          <w:color w:val="0070C0"/>
          <w:sz w:val="24"/>
        </w:rPr>
        <w:t xml:space="preserve"> 2018</w:t>
      </w:r>
      <w:r w:rsidR="00D6345C">
        <w:rPr>
          <w:rFonts w:asciiTheme="minorHAnsi" w:hAnsiTheme="minorHAnsi" w:cs="Arial"/>
          <w:b w:val="0"/>
          <w:color w:val="0070C0"/>
          <w:sz w:val="24"/>
        </w:rPr>
        <w:t>’de</w:t>
      </w:r>
      <w:r w:rsidR="00A96605" w:rsidRPr="000B4D53">
        <w:rPr>
          <w:rFonts w:asciiTheme="minorHAnsi" w:hAnsiTheme="minorHAnsi" w:cs="Arial"/>
          <w:b w:val="0"/>
          <w:color w:val="0070C0"/>
          <w:sz w:val="24"/>
        </w:rPr>
        <w:t>,</w:t>
      </w:r>
      <w:r w:rsidR="00CA7E8C" w:rsidRPr="000B4D53">
        <w:rPr>
          <w:rFonts w:asciiTheme="minorHAnsi" w:hAnsiTheme="minorHAnsi" w:cs="Arial"/>
          <w:b w:val="0"/>
          <w:color w:val="0070C0"/>
          <w:sz w:val="24"/>
        </w:rPr>
        <w:t xml:space="preserve"> g</w:t>
      </w:r>
      <w:r w:rsidR="000B4D53" w:rsidRPr="000B4D53">
        <w:rPr>
          <w:rFonts w:asciiTheme="minorHAnsi" w:hAnsiTheme="minorHAnsi" w:cs="Arial"/>
          <w:b w:val="0"/>
          <w:color w:val="0070C0"/>
          <w:sz w:val="24"/>
        </w:rPr>
        <w:t xml:space="preserve">eçen yılın aynı dönemine göre </w:t>
      </w:r>
      <w:r w:rsidR="00450E2F">
        <w:rPr>
          <w:rFonts w:asciiTheme="minorHAnsi" w:hAnsiTheme="minorHAnsi" w:cs="Arial"/>
          <w:b w:val="0"/>
          <w:color w:val="0070C0"/>
          <w:sz w:val="24"/>
        </w:rPr>
        <w:t>tüm sektörlerde artış gözlendi. “M</w:t>
      </w:r>
      <w:r w:rsidR="00450E2F" w:rsidRPr="00450E2F">
        <w:rPr>
          <w:rFonts w:asciiTheme="minorHAnsi" w:hAnsiTheme="minorHAnsi" w:cs="Arial"/>
          <w:b w:val="0"/>
          <w:color w:val="0070C0"/>
          <w:sz w:val="24"/>
        </w:rPr>
        <w:t xml:space="preserve">obilya, aydınlatma </w:t>
      </w:r>
      <w:proofErr w:type="gramStart"/>
      <w:r w:rsidR="00450E2F" w:rsidRPr="00450E2F">
        <w:rPr>
          <w:rFonts w:asciiTheme="minorHAnsi" w:hAnsiTheme="minorHAnsi" w:cs="Arial"/>
          <w:b w:val="0"/>
          <w:color w:val="0070C0"/>
          <w:sz w:val="24"/>
        </w:rPr>
        <w:t>ekipmanı</w:t>
      </w:r>
      <w:proofErr w:type="gramEnd"/>
      <w:r w:rsidR="00450E2F" w:rsidRPr="00450E2F">
        <w:rPr>
          <w:rFonts w:asciiTheme="minorHAnsi" w:hAnsiTheme="minorHAnsi" w:cs="Arial"/>
          <w:b w:val="0"/>
          <w:color w:val="0070C0"/>
          <w:sz w:val="24"/>
        </w:rPr>
        <w:t xml:space="preserve"> ve ev içi kullanım ürünleri”</w:t>
      </w:r>
      <w:r w:rsidR="00450E2F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450E2F" w:rsidRPr="00EF2053">
        <w:rPr>
          <w:rFonts w:asciiTheme="minorHAnsi" w:hAnsiTheme="minorHAnsi" w:cs="Arial"/>
          <w:b w:val="0"/>
          <w:color w:val="0070C0"/>
          <w:sz w:val="24"/>
        </w:rPr>
        <w:t>“motorlu taşıtlar”</w:t>
      </w:r>
      <w:r w:rsidR="00450E2F">
        <w:rPr>
          <w:rFonts w:asciiTheme="minorHAnsi" w:hAnsiTheme="minorHAnsi" w:cs="Arial"/>
          <w:b w:val="0"/>
          <w:color w:val="0070C0"/>
          <w:sz w:val="24"/>
        </w:rPr>
        <w:t>,</w:t>
      </w:r>
      <w:r w:rsidR="00450E2F" w:rsidRPr="00450E2F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50E2F" w:rsidRPr="00D6345C">
        <w:rPr>
          <w:rFonts w:asciiTheme="minorHAnsi" w:hAnsiTheme="minorHAnsi" w:cs="Arial"/>
          <w:b w:val="0"/>
          <w:color w:val="0070C0"/>
          <w:sz w:val="24"/>
        </w:rPr>
        <w:t>“birden fazla türde ürün satan bakkal, market ve büyük mağazalar”</w:t>
      </w:r>
      <w:r w:rsidR="00450E2F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450E2F" w:rsidRPr="00D6345C">
        <w:rPr>
          <w:rFonts w:asciiTheme="minorHAnsi" w:hAnsiTheme="minorHAnsi" w:cs="Arial"/>
          <w:b w:val="0"/>
          <w:color w:val="0070C0"/>
          <w:sz w:val="24"/>
        </w:rPr>
        <w:t>“elektrikli ev aletleri, radyo ve televizyonlar”</w:t>
      </w:r>
      <w:r w:rsidR="00450E2F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450E2F" w:rsidRPr="00D634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50E2F" w:rsidRPr="00450E2F">
        <w:rPr>
          <w:rFonts w:asciiTheme="minorHAnsi" w:hAnsiTheme="minorHAnsi" w:cs="Arial"/>
          <w:b w:val="0"/>
          <w:color w:val="0070C0"/>
          <w:sz w:val="24"/>
        </w:rPr>
        <w:t>“yiyecek, içecek ve tütün ürünleri”</w:t>
      </w:r>
      <w:r w:rsidR="00D6345C" w:rsidRPr="00D634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F2053">
        <w:rPr>
          <w:rFonts w:asciiTheme="minorHAnsi" w:hAnsiTheme="minorHAnsi" w:cs="Arial"/>
          <w:b w:val="0"/>
          <w:color w:val="0070C0"/>
          <w:sz w:val="24"/>
        </w:rPr>
        <w:t>sektörleri ortalamanın üzerinde değer aldı.</w:t>
      </w:r>
    </w:p>
    <w:p w14:paraId="15DEDEE4" w14:textId="77777777" w:rsidR="00E20F21" w:rsidRPr="00E20F21" w:rsidRDefault="00E20F21" w:rsidP="00477A2B">
      <w:pPr>
        <w:pStyle w:val="Balk2"/>
        <w:jc w:val="both"/>
      </w:pPr>
    </w:p>
    <w:p w14:paraId="221990E5" w14:textId="3089141D" w:rsidR="00A40577" w:rsidRDefault="00963B01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7F7A5F">
        <w:rPr>
          <w:rFonts w:asciiTheme="minorHAnsi" w:hAnsiTheme="minorHAnsi"/>
          <w:b/>
        </w:rPr>
        <w:t>Şekil-</w:t>
      </w:r>
      <w:r w:rsidR="00601707">
        <w:rPr>
          <w:rFonts w:asciiTheme="minorHAnsi" w:hAnsiTheme="minorHAnsi"/>
          <w:b/>
        </w:rPr>
        <w:t>5</w:t>
      </w:r>
      <w:r w:rsidRPr="007F7A5F">
        <w:rPr>
          <w:rFonts w:asciiTheme="minorHAnsi" w:hAnsiTheme="minorHAnsi"/>
          <w:b/>
        </w:rPr>
        <w:t>.</w:t>
      </w:r>
      <w:r w:rsidRPr="007F7A5F">
        <w:rPr>
          <w:rFonts w:asciiTheme="minorHAnsi" w:hAnsiTheme="minorHAnsi"/>
        </w:rPr>
        <w:t xml:space="preserve"> </w:t>
      </w:r>
      <w:r w:rsidR="009869E1" w:rsidRPr="007F7A5F">
        <w:rPr>
          <w:rFonts w:asciiTheme="minorHAnsi" w:hAnsiTheme="minorHAnsi"/>
        </w:rPr>
        <w:t xml:space="preserve">Alt sektör bazında </w:t>
      </w:r>
      <w:proofErr w:type="spellStart"/>
      <w:r w:rsidRPr="007F7A5F">
        <w:rPr>
          <w:rFonts w:asciiTheme="minorHAnsi" w:hAnsiTheme="minorHAnsi"/>
        </w:rPr>
        <w:t>TEPE’nin</w:t>
      </w:r>
      <w:proofErr w:type="spellEnd"/>
      <w:r w:rsidRPr="007F7A5F">
        <w:rPr>
          <w:rFonts w:asciiTheme="minorHAnsi" w:hAnsiTheme="minorHAnsi"/>
        </w:rPr>
        <w:t xml:space="preserve"> </w:t>
      </w:r>
      <w:r w:rsidR="002502B6">
        <w:rPr>
          <w:rFonts w:asciiTheme="minorHAnsi" w:hAnsiTheme="minorHAnsi"/>
        </w:rPr>
        <w:t>Aralık</w:t>
      </w:r>
      <w:r w:rsidR="007D192B">
        <w:rPr>
          <w:rFonts w:asciiTheme="minorHAnsi" w:hAnsiTheme="minorHAnsi"/>
        </w:rPr>
        <w:t xml:space="preserve"> </w:t>
      </w:r>
      <w:r w:rsidR="00450E2F">
        <w:rPr>
          <w:rFonts w:asciiTheme="minorHAnsi" w:hAnsiTheme="minorHAnsi"/>
        </w:rPr>
        <w:t>2018</w:t>
      </w:r>
      <w:r w:rsidR="00D6345C">
        <w:rPr>
          <w:rFonts w:asciiTheme="minorHAnsi" w:hAnsiTheme="minorHAnsi"/>
        </w:rPr>
        <w:t>’de</w:t>
      </w:r>
      <w:r w:rsidRPr="007F7A5F">
        <w:rPr>
          <w:rFonts w:asciiTheme="minorHAnsi" w:hAnsiTheme="minorHAnsi"/>
        </w:rPr>
        <w:t xml:space="preserve"> </w:t>
      </w:r>
      <w:r w:rsidR="00B364DA">
        <w:rPr>
          <w:rFonts w:asciiTheme="minorHAnsi" w:hAnsiTheme="minorHAnsi"/>
        </w:rPr>
        <w:t>geçen</w:t>
      </w:r>
      <w:r w:rsidRPr="007F7A5F">
        <w:rPr>
          <w:rFonts w:asciiTheme="minorHAnsi" w:hAnsiTheme="minorHAnsi"/>
        </w:rPr>
        <w:t xml:space="preserve"> yılın ayn</w:t>
      </w:r>
      <w:r w:rsidR="006943C3">
        <w:rPr>
          <w:rFonts w:asciiTheme="minorHAnsi" w:hAnsiTheme="minorHAnsi"/>
        </w:rPr>
        <w:t>ı dönemine göre değişimi (puan)</w:t>
      </w:r>
    </w:p>
    <w:p w14:paraId="49D86048" w14:textId="714D7608" w:rsidR="00DE03DF" w:rsidRDefault="00450E2F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43B6130F" wp14:editId="5F88DEBB">
            <wp:extent cx="5759450" cy="3082402"/>
            <wp:effectExtent l="0" t="0" r="12700" b="2286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F281C0" w14:textId="77777777" w:rsidR="009A1DC3" w:rsidRDefault="009A1DC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E686330" w14:textId="77777777" w:rsidR="00691154" w:rsidRDefault="0069115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5B20A5F" w14:textId="77777777" w:rsidR="008A2EB3" w:rsidRDefault="008A2EB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A44A17F" w14:textId="77777777" w:rsidR="00C13459" w:rsidRDefault="00C13459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5F46DCF" w14:textId="77777777" w:rsidR="0026656F" w:rsidRDefault="0026656F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D2594E2" w14:textId="77777777" w:rsidR="000C7712" w:rsidRDefault="000C7712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55CD9783" w14:textId="77777777" w:rsidR="00E06900" w:rsidRDefault="00E06900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B3A6EB5" w14:textId="77777777" w:rsidR="007D79D2" w:rsidRDefault="007D79D2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BB5E1BC" w14:textId="77777777" w:rsidR="008866B1" w:rsidRDefault="008866B1" w:rsidP="00A1408B">
      <w:pPr>
        <w:pStyle w:val="Balk2"/>
        <w:jc w:val="both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14:paraId="2BA1A3D1" w14:textId="575F58DE" w:rsidR="00A1408B" w:rsidRPr="00A1408B" w:rsidRDefault="009D43A7" w:rsidP="0080530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  <w:r w:rsidRPr="00F53784">
        <w:rPr>
          <w:rFonts w:asciiTheme="minorHAnsi" w:hAnsiTheme="minorHAnsi" w:cs="Arial"/>
          <w:color w:val="0070C0"/>
          <w:sz w:val="28"/>
        </w:rPr>
        <w:t>Perakende</w:t>
      </w:r>
      <w:r w:rsidR="00805308">
        <w:rPr>
          <w:rFonts w:asciiTheme="minorHAnsi" w:hAnsiTheme="minorHAnsi" w:cs="Arial"/>
          <w:color w:val="0070C0"/>
          <w:sz w:val="28"/>
        </w:rPr>
        <w:t xml:space="preserve">de </w:t>
      </w:r>
      <w:r w:rsidR="00665135">
        <w:rPr>
          <w:rFonts w:asciiTheme="minorHAnsi" w:hAnsiTheme="minorHAnsi" w:cs="Arial"/>
          <w:color w:val="0070C0"/>
          <w:sz w:val="28"/>
        </w:rPr>
        <w:t xml:space="preserve">gelecek </w:t>
      </w:r>
      <w:r w:rsidR="00805308">
        <w:rPr>
          <w:rFonts w:asciiTheme="minorHAnsi" w:hAnsiTheme="minorHAnsi" w:cs="Arial"/>
          <w:color w:val="0070C0"/>
          <w:sz w:val="28"/>
        </w:rPr>
        <w:t>beklentileri</w:t>
      </w:r>
      <w:r w:rsidR="00665135">
        <w:rPr>
          <w:rFonts w:asciiTheme="minorHAnsi" w:hAnsiTheme="minorHAnsi" w:cs="Arial"/>
          <w:color w:val="0070C0"/>
          <w:sz w:val="28"/>
        </w:rPr>
        <w:t xml:space="preserve"> iyimser</w:t>
      </w:r>
    </w:p>
    <w:p w14:paraId="73165D71" w14:textId="0E5A0F17" w:rsidR="00C74691" w:rsidRDefault="00201819" w:rsidP="0013264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A1408B">
        <w:rPr>
          <w:rFonts w:asciiTheme="minorHAnsi" w:hAnsiTheme="minorHAnsi" w:cs="Arial"/>
          <w:b w:val="0"/>
          <w:color w:val="0070C0"/>
          <w:sz w:val="24"/>
        </w:rPr>
        <w:t>TEPE anketine soru bazında bakıldığında</w:t>
      </w:r>
      <w:r w:rsidR="006A1E78">
        <w:rPr>
          <w:rFonts w:asciiTheme="minorHAnsi" w:hAnsiTheme="minorHAnsi" w:cs="Arial"/>
          <w:b w:val="0"/>
          <w:color w:val="0070C0"/>
          <w:sz w:val="24"/>
        </w:rPr>
        <w:t xml:space="preserve"> Aralık</w:t>
      </w:r>
      <w:r w:rsidR="00AF1F84" w:rsidRPr="00A1408B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32643">
        <w:rPr>
          <w:rFonts w:asciiTheme="minorHAnsi" w:hAnsiTheme="minorHAnsi" w:cs="Arial"/>
          <w:b w:val="0"/>
          <w:color w:val="0070C0"/>
          <w:sz w:val="24"/>
        </w:rPr>
        <w:t>2018</w:t>
      </w:r>
      <w:r w:rsidR="00B60B11">
        <w:rPr>
          <w:rFonts w:asciiTheme="minorHAnsi" w:hAnsiTheme="minorHAnsi" w:cs="Arial"/>
          <w:b w:val="0"/>
          <w:color w:val="0070C0"/>
          <w:sz w:val="24"/>
        </w:rPr>
        <w:t>’de</w:t>
      </w:r>
      <w:r w:rsidR="00DE1B8B" w:rsidRPr="00A1408B">
        <w:rPr>
          <w:rFonts w:asciiTheme="minorHAnsi" w:hAnsiTheme="minorHAnsi" w:cs="Arial"/>
          <w:b w:val="0"/>
          <w:color w:val="0070C0"/>
          <w:sz w:val="24"/>
        </w:rPr>
        <w:t>,</w:t>
      </w:r>
      <w:r w:rsidRPr="00A1408B">
        <w:rPr>
          <w:rFonts w:asciiTheme="minorHAnsi" w:hAnsiTheme="minorHAnsi" w:cs="Arial"/>
          <w:b w:val="0"/>
          <w:color w:val="0070C0"/>
          <w:sz w:val="24"/>
        </w:rPr>
        <w:t xml:space="preserve"> hem </w:t>
      </w:r>
      <w:r w:rsidR="006A1E78">
        <w:rPr>
          <w:rFonts w:asciiTheme="minorHAnsi" w:hAnsiTheme="minorHAnsi" w:cs="Arial"/>
          <w:b w:val="0"/>
          <w:color w:val="0070C0"/>
          <w:sz w:val="24"/>
        </w:rPr>
        <w:t>Aralık</w:t>
      </w:r>
      <w:r w:rsidRPr="00A1408B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F0337" w:rsidRPr="00A1408B">
        <w:rPr>
          <w:rFonts w:asciiTheme="minorHAnsi" w:hAnsiTheme="minorHAnsi" w:cs="Arial"/>
          <w:b w:val="0"/>
          <w:color w:val="0070C0"/>
          <w:sz w:val="24"/>
        </w:rPr>
        <w:t>201</w:t>
      </w:r>
      <w:r w:rsidR="00132643">
        <w:rPr>
          <w:rFonts w:asciiTheme="minorHAnsi" w:hAnsiTheme="minorHAnsi" w:cs="Arial"/>
          <w:b w:val="0"/>
          <w:color w:val="0070C0"/>
          <w:sz w:val="24"/>
        </w:rPr>
        <w:t>7’ye</w:t>
      </w:r>
      <w:r w:rsidRPr="00A1408B">
        <w:rPr>
          <w:rFonts w:asciiTheme="minorHAnsi" w:hAnsiTheme="minorHAnsi" w:cs="Arial"/>
          <w:b w:val="0"/>
          <w:color w:val="0070C0"/>
          <w:sz w:val="24"/>
        </w:rPr>
        <w:t xml:space="preserve"> göre</w:t>
      </w:r>
      <w:r w:rsidR="006A1E78">
        <w:rPr>
          <w:rFonts w:asciiTheme="minorHAnsi" w:hAnsiTheme="minorHAnsi" w:cs="Arial"/>
          <w:b w:val="0"/>
          <w:color w:val="0070C0"/>
          <w:sz w:val="24"/>
        </w:rPr>
        <w:t xml:space="preserve"> hem de Kasım</w:t>
      </w:r>
      <w:r w:rsidR="00B60B11">
        <w:rPr>
          <w:rFonts w:asciiTheme="minorHAnsi" w:hAnsiTheme="minorHAnsi" w:cs="Arial"/>
          <w:b w:val="0"/>
          <w:color w:val="0070C0"/>
          <w:sz w:val="24"/>
        </w:rPr>
        <w:t xml:space="preserve"> 2</w:t>
      </w:r>
      <w:r w:rsidR="00132643">
        <w:rPr>
          <w:rFonts w:asciiTheme="minorHAnsi" w:hAnsiTheme="minorHAnsi" w:cs="Arial"/>
          <w:b w:val="0"/>
          <w:color w:val="0070C0"/>
          <w:sz w:val="24"/>
        </w:rPr>
        <w:t>018</w:t>
      </w:r>
      <w:r w:rsidR="00B60B11">
        <w:rPr>
          <w:rFonts w:asciiTheme="minorHAnsi" w:hAnsiTheme="minorHAnsi" w:cs="Arial"/>
          <w:b w:val="0"/>
          <w:color w:val="0070C0"/>
          <w:sz w:val="24"/>
        </w:rPr>
        <w:t>’ye</w:t>
      </w:r>
      <w:r w:rsidR="0094620B" w:rsidRPr="00A1408B">
        <w:rPr>
          <w:rFonts w:asciiTheme="minorHAnsi" w:hAnsiTheme="minorHAnsi" w:cs="Arial"/>
          <w:b w:val="0"/>
          <w:color w:val="0070C0"/>
          <w:sz w:val="24"/>
        </w:rPr>
        <w:t xml:space="preserve"> göre</w:t>
      </w:r>
      <w:r w:rsidR="005F402E" w:rsidRPr="00A1408B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A1E78">
        <w:rPr>
          <w:rFonts w:asciiTheme="minorHAnsi" w:hAnsiTheme="minorHAnsi" w:cs="Arial"/>
          <w:b w:val="0"/>
          <w:color w:val="0070C0"/>
          <w:sz w:val="24"/>
        </w:rPr>
        <w:t xml:space="preserve">“geçtiğimiz 3 ayda işlerin durumu”, </w:t>
      </w:r>
      <w:r w:rsidR="00D57CFB">
        <w:rPr>
          <w:rFonts w:asciiTheme="minorHAnsi" w:hAnsiTheme="minorHAnsi" w:cs="Arial"/>
          <w:b w:val="0"/>
          <w:color w:val="0070C0"/>
          <w:sz w:val="24"/>
        </w:rPr>
        <w:t>“önümüzdeki 3 ayda tedarikçilerden sipar</w:t>
      </w:r>
      <w:r w:rsidR="0026656F">
        <w:rPr>
          <w:rFonts w:asciiTheme="minorHAnsi" w:hAnsiTheme="minorHAnsi" w:cs="Arial"/>
          <w:b w:val="0"/>
          <w:color w:val="0070C0"/>
          <w:sz w:val="24"/>
        </w:rPr>
        <w:t>iş</w:t>
      </w:r>
      <w:r w:rsidR="00D91970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7806C3">
        <w:rPr>
          <w:rFonts w:asciiTheme="minorHAnsi" w:hAnsiTheme="minorHAnsi" w:cs="Arial"/>
          <w:b w:val="0"/>
          <w:color w:val="0070C0"/>
          <w:sz w:val="24"/>
        </w:rPr>
        <w:t>satış</w:t>
      </w:r>
      <w:r w:rsidR="00132643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D91970">
        <w:rPr>
          <w:rFonts w:asciiTheme="minorHAnsi" w:hAnsiTheme="minorHAnsi" w:cs="Arial"/>
          <w:b w:val="0"/>
          <w:color w:val="0070C0"/>
          <w:sz w:val="24"/>
        </w:rPr>
        <w:t>istihdam</w:t>
      </w:r>
      <w:r w:rsidR="0026656F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32643">
        <w:rPr>
          <w:rFonts w:asciiTheme="minorHAnsi" w:hAnsiTheme="minorHAnsi" w:cs="Arial"/>
          <w:b w:val="0"/>
          <w:color w:val="0070C0"/>
          <w:sz w:val="24"/>
        </w:rPr>
        <w:t xml:space="preserve">ve satış fiyatı </w:t>
      </w:r>
      <w:r w:rsidR="0026656F">
        <w:rPr>
          <w:rFonts w:asciiTheme="minorHAnsi" w:hAnsiTheme="minorHAnsi" w:cs="Arial"/>
          <w:b w:val="0"/>
          <w:color w:val="0070C0"/>
          <w:sz w:val="24"/>
        </w:rPr>
        <w:t>beklentisi</w:t>
      </w:r>
      <w:r w:rsidR="00D57CFB">
        <w:rPr>
          <w:rFonts w:asciiTheme="minorHAnsi" w:hAnsiTheme="minorHAnsi" w:cs="Arial"/>
          <w:b w:val="0"/>
          <w:color w:val="0070C0"/>
          <w:sz w:val="24"/>
        </w:rPr>
        <w:t>”</w:t>
      </w:r>
      <w:r w:rsidR="00F80701">
        <w:rPr>
          <w:rFonts w:asciiTheme="minorHAnsi" w:hAnsiTheme="minorHAnsi" w:cs="Arial"/>
          <w:b w:val="0"/>
          <w:color w:val="0070C0"/>
          <w:sz w:val="24"/>
        </w:rPr>
        <w:t>,</w:t>
      </w:r>
      <w:r w:rsidR="00D57CFB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6656F">
        <w:rPr>
          <w:rFonts w:asciiTheme="minorHAnsi" w:hAnsiTheme="minorHAnsi" w:cs="Arial"/>
          <w:b w:val="0"/>
          <w:color w:val="0070C0"/>
          <w:sz w:val="24"/>
        </w:rPr>
        <w:t>“i</w:t>
      </w:r>
      <w:r w:rsidR="0026656F" w:rsidRPr="0026656F">
        <w:rPr>
          <w:rFonts w:asciiTheme="minorHAnsi" w:hAnsiTheme="minorHAnsi" w:cs="Arial"/>
          <w:b w:val="0"/>
          <w:color w:val="0070C0"/>
          <w:sz w:val="24"/>
        </w:rPr>
        <w:t xml:space="preserve">şlerin geçen yıla göre durumu” </w:t>
      </w:r>
      <w:r w:rsidR="00F80701">
        <w:rPr>
          <w:rFonts w:asciiTheme="minorHAnsi" w:hAnsiTheme="minorHAnsi" w:cs="Arial"/>
          <w:b w:val="0"/>
          <w:color w:val="0070C0"/>
          <w:sz w:val="24"/>
        </w:rPr>
        <w:t>ve “g</w:t>
      </w:r>
      <w:r w:rsidR="00F80701" w:rsidRPr="00F80701">
        <w:rPr>
          <w:rFonts w:asciiTheme="minorHAnsi" w:hAnsiTheme="minorHAnsi" w:cs="Arial"/>
          <w:b w:val="0"/>
          <w:color w:val="0070C0"/>
          <w:sz w:val="24"/>
        </w:rPr>
        <w:t>elecek yıl mağaza sayısı beklentisi”</w:t>
      </w:r>
      <w:r w:rsidR="00F8070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582DCC">
        <w:rPr>
          <w:rFonts w:asciiTheme="minorHAnsi" w:hAnsiTheme="minorHAnsi" w:cs="Arial"/>
          <w:b w:val="0"/>
          <w:color w:val="0070C0"/>
          <w:sz w:val="24"/>
        </w:rPr>
        <w:t>göstergeleri artt</w:t>
      </w:r>
      <w:r w:rsidR="0026656F">
        <w:rPr>
          <w:rFonts w:asciiTheme="minorHAnsi" w:hAnsiTheme="minorHAnsi" w:cs="Arial"/>
          <w:b w:val="0"/>
          <w:color w:val="0070C0"/>
          <w:sz w:val="24"/>
        </w:rPr>
        <w:t xml:space="preserve">ı. </w:t>
      </w:r>
    </w:p>
    <w:p w14:paraId="3C0BB40F" w14:textId="77777777" w:rsidR="00963B01" w:rsidRPr="003127E7" w:rsidRDefault="00F36C22" w:rsidP="00F36C22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</w:rPr>
      </w:pPr>
      <w:r>
        <w:br/>
      </w:r>
      <w:r w:rsidR="00963B01" w:rsidRPr="003127E7">
        <w:rPr>
          <w:rFonts w:asciiTheme="minorHAnsi" w:hAnsiTheme="minorHAnsi"/>
          <w:b/>
        </w:rPr>
        <w:t>Tablo-</w:t>
      </w:r>
      <w:r w:rsidR="00A52D51">
        <w:rPr>
          <w:rFonts w:asciiTheme="minorHAnsi" w:hAnsiTheme="minorHAnsi"/>
          <w:b/>
        </w:rPr>
        <w:t>4</w:t>
      </w:r>
      <w:r w:rsidR="00963B01" w:rsidRPr="003127E7">
        <w:rPr>
          <w:rFonts w:asciiTheme="minorHAnsi" w:hAnsiTheme="minorHAnsi"/>
          <w:b/>
        </w:rPr>
        <w:t>.</w:t>
      </w:r>
      <w:r w:rsidR="00963B01" w:rsidRPr="003127E7">
        <w:rPr>
          <w:rFonts w:asciiTheme="minorHAnsi" w:hAnsiTheme="minorHAnsi"/>
        </w:rPr>
        <w:t xml:space="preserve"> TEPE soru bazında detaylı sonuçlar</w:t>
      </w:r>
      <w:r w:rsidR="00722E05">
        <w:rPr>
          <w:rFonts w:asciiTheme="minorHAnsi" w:hAnsiTheme="minorHAnsi"/>
        </w:rPr>
        <w:t xml:space="preserve"> </w:t>
      </w:r>
      <w:r w:rsidR="009869E1">
        <w:rPr>
          <w:rFonts w:asciiTheme="minorHAnsi" w:hAnsiTheme="minorHAnsi"/>
        </w:rPr>
        <w:t>(puan</w:t>
      </w:r>
      <w:r w:rsidR="00722E05" w:rsidRPr="003127E7">
        <w:rPr>
          <w:rFonts w:asciiTheme="minorHAnsi" w:hAnsiTheme="minorHAnsi"/>
        </w:rPr>
        <w:t xml:space="preserve">) </w:t>
      </w:r>
    </w:p>
    <w:tbl>
      <w:tblPr>
        <w:tblW w:w="5464" w:type="pct"/>
        <w:tblInd w:w="-4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070"/>
        <w:gridCol w:w="1134"/>
        <w:gridCol w:w="1133"/>
        <w:gridCol w:w="1135"/>
        <w:gridCol w:w="1559"/>
        <w:gridCol w:w="2117"/>
      </w:tblGrid>
      <w:tr w:rsidR="00F31BC3" w:rsidRPr="00197B4F" w14:paraId="291A0FB0" w14:textId="77777777" w:rsidTr="00A4738A">
        <w:tc>
          <w:tcPr>
            <w:tcW w:w="151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noWrap/>
            <w:vAlign w:val="center"/>
          </w:tcPr>
          <w:p w14:paraId="28076E9B" w14:textId="77777777" w:rsidR="00963B01" w:rsidRPr="00F31BC3" w:rsidRDefault="00963B01" w:rsidP="00197B4F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b/>
                <w:szCs w:val="20"/>
              </w:rPr>
              <w:t>Sorular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02AEAE7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49827B68" w14:textId="57BA393C" w:rsidR="00963B01" w:rsidRPr="00197B4F" w:rsidRDefault="007B209C" w:rsidP="00C538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132643">
              <w:rPr>
                <w:rFonts w:asciiTheme="minorHAnsi" w:hAnsiTheme="minorHAnsi" w:cs="Arial"/>
                <w:b/>
                <w:szCs w:val="2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2DC5164E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7CF579C9" w14:textId="1715E627" w:rsidR="00963B01" w:rsidRPr="00197B4F" w:rsidRDefault="007B209C" w:rsidP="005E2B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11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132643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704E10D9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7DE94658" w14:textId="16B19E8C" w:rsidR="00963B01" w:rsidRPr="00197B4F" w:rsidRDefault="007B209C" w:rsidP="00C538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132643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793CA55C" w14:textId="4CD1A711" w:rsidR="00963B01" w:rsidRPr="00197B4F" w:rsidRDefault="00F85EA3" w:rsidP="00C538AC">
            <w:pPr>
              <w:spacing w:after="0" w:line="240" w:lineRule="auto"/>
              <w:ind w:left="32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aya göre değişim </w:t>
            </w:r>
            <w:r w:rsidR="007B209C">
              <w:rPr>
                <w:rFonts w:asciiTheme="minorHAnsi" w:hAnsiTheme="minorHAnsi" w:cs="Arial"/>
                <w:b/>
                <w:szCs w:val="20"/>
              </w:rPr>
              <w:t>12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132643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26A0C351" w14:textId="77777777" w:rsidR="00F51037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</w:t>
            </w:r>
            <w:r w:rsidR="00F51037" w:rsidRPr="00197B4F">
              <w:rPr>
                <w:rFonts w:asciiTheme="minorHAnsi" w:hAnsiTheme="minorHAnsi" w:cs="Arial"/>
                <w:b/>
                <w:szCs w:val="20"/>
              </w:rPr>
              <w:t>yılın aynı ayına göre değişim</w:t>
            </w:r>
          </w:p>
          <w:p w14:paraId="0071CEE0" w14:textId="6BA20D42" w:rsidR="00963B01" w:rsidRPr="00197B4F" w:rsidRDefault="007B209C" w:rsidP="00C538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12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132643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</w:tr>
      <w:tr w:rsidR="00132643" w:rsidRPr="003127E7" w14:paraId="491DBE7F" w14:textId="77777777" w:rsidTr="00394213">
        <w:trPr>
          <w:trHeight w:val="494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7D8A223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Geçtiğimiz üç ayda işlerinizin gelişimi ne yönde oldu?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CD0FDD4" w14:textId="66E53CCB" w:rsidR="00132643" w:rsidRDefault="00132643" w:rsidP="003275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-48,8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8A69FC1" w14:textId="36A59C83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-55,6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2B4BA520" w14:textId="561DB2A0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-41,0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00A99C4" w14:textId="49F4F7FE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1B99F37" w14:textId="4078B5A5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7,8</w:t>
            </w:r>
          </w:p>
        </w:tc>
      </w:tr>
      <w:tr w:rsidR="00132643" w:rsidRPr="003127E7" w14:paraId="1866D5FB" w14:textId="77777777" w:rsidTr="00394213">
        <w:trPr>
          <w:trHeight w:val="662"/>
        </w:trPr>
        <w:tc>
          <w:tcPr>
            <w:tcW w:w="151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521ECDA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 xml:space="preserve">Mevcut stok düzeyiniz hakkında ne düşünüyorsunuz? </w:t>
            </w:r>
            <w:r w:rsidRPr="00F31BC3">
              <w:rPr>
                <w:rStyle w:val="DipnotBavurusu"/>
                <w:rFonts w:asciiTheme="minorHAnsi" w:hAnsiTheme="minorHAnsi" w:cs="Arial"/>
                <w:b/>
                <w:szCs w:val="20"/>
              </w:rPr>
              <w:footnoteReference w:id="2"/>
            </w:r>
          </w:p>
        </w:tc>
        <w:tc>
          <w:tcPr>
            <w:tcW w:w="559" w:type="pct"/>
            <w:vAlign w:val="bottom"/>
          </w:tcPr>
          <w:p w14:paraId="51882217" w14:textId="552995E2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  <w:tc>
          <w:tcPr>
            <w:tcW w:w="558" w:type="pct"/>
            <w:vAlign w:val="bottom"/>
          </w:tcPr>
          <w:p w14:paraId="6E909D5A" w14:textId="29EE39B4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19,2</w:t>
            </w:r>
          </w:p>
        </w:tc>
        <w:tc>
          <w:tcPr>
            <w:tcW w:w="559" w:type="pct"/>
            <w:vAlign w:val="bottom"/>
          </w:tcPr>
          <w:p w14:paraId="3CF16D19" w14:textId="304207AF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8,3</w:t>
            </w:r>
          </w:p>
        </w:tc>
        <w:tc>
          <w:tcPr>
            <w:tcW w:w="768" w:type="pct"/>
            <w:vAlign w:val="bottom"/>
          </w:tcPr>
          <w:p w14:paraId="14F32509" w14:textId="1D3AC730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-10,9</w:t>
            </w:r>
          </w:p>
        </w:tc>
        <w:tc>
          <w:tcPr>
            <w:tcW w:w="1043" w:type="pct"/>
            <w:vAlign w:val="bottom"/>
          </w:tcPr>
          <w:p w14:paraId="4EE092A6" w14:textId="38751D1C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</w:tr>
      <w:tr w:rsidR="00132643" w:rsidRPr="003127E7" w14:paraId="5F91139E" w14:textId="77777777" w:rsidTr="00394213">
        <w:trPr>
          <w:trHeight w:val="997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C2BB256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Tedarikçilerden siparişlerinizin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36550E6" w14:textId="62F681B2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0DD8896" w14:textId="4741D0DC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-23,0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DCD8DE1" w14:textId="03B7A8FF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0,3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1C8AABB" w14:textId="63706C43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3A4AB867" w14:textId="7F0F5873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17,8</w:t>
            </w:r>
          </w:p>
        </w:tc>
      </w:tr>
      <w:tr w:rsidR="00132643" w:rsidRPr="003127E7" w14:paraId="4FF655D0" w14:textId="77777777" w:rsidTr="00394213">
        <w:trPr>
          <w:trHeight w:val="842"/>
        </w:trPr>
        <w:tc>
          <w:tcPr>
            <w:tcW w:w="151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5BAA8A2F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Satışlarınızın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38841B98" w14:textId="2F44C955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-6,4</w:t>
            </w:r>
          </w:p>
        </w:tc>
        <w:tc>
          <w:tcPr>
            <w:tcW w:w="558" w:type="pct"/>
            <w:vAlign w:val="bottom"/>
          </w:tcPr>
          <w:p w14:paraId="3F236CFC" w14:textId="17FFC2FB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-11,8</w:t>
            </w:r>
          </w:p>
        </w:tc>
        <w:tc>
          <w:tcPr>
            <w:tcW w:w="559" w:type="pct"/>
            <w:vAlign w:val="bottom"/>
          </w:tcPr>
          <w:p w14:paraId="4D18E66C" w14:textId="5EB7EBA6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6,8</w:t>
            </w:r>
          </w:p>
        </w:tc>
        <w:tc>
          <w:tcPr>
            <w:tcW w:w="768" w:type="pct"/>
            <w:vAlign w:val="bottom"/>
          </w:tcPr>
          <w:p w14:paraId="4F4CA622" w14:textId="0E85A3E4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18,6</w:t>
            </w:r>
          </w:p>
        </w:tc>
        <w:tc>
          <w:tcPr>
            <w:tcW w:w="1043" w:type="pct"/>
            <w:vAlign w:val="bottom"/>
          </w:tcPr>
          <w:p w14:paraId="4A8E4B94" w14:textId="1E5417A1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13,2</w:t>
            </w:r>
          </w:p>
        </w:tc>
      </w:tr>
      <w:tr w:rsidR="00132643" w:rsidRPr="003127E7" w14:paraId="0EDBEC84" w14:textId="77777777" w:rsidTr="00394213">
        <w:trPr>
          <w:trHeight w:val="1138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846FFBA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İstihdam ettiğiniz personel sayısının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6CD6361" w14:textId="7FF927F7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606A4DCA" w14:textId="6BA8F60E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69371825" w14:textId="7A9FD9ED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7,1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1A63483" w14:textId="5E912CF7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60393CBC" w14:textId="277985B3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</w:t>
            </w:r>
          </w:p>
        </w:tc>
      </w:tr>
      <w:tr w:rsidR="00132643" w:rsidRPr="003127E7" w14:paraId="5945D3D7" w14:textId="77777777" w:rsidTr="00394213">
        <w:trPr>
          <w:trHeight w:val="842"/>
        </w:trPr>
        <w:tc>
          <w:tcPr>
            <w:tcW w:w="151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60D3854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Satış fiyatlarınızın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6436C714" w14:textId="4B3607C8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27,8</w:t>
            </w:r>
          </w:p>
        </w:tc>
        <w:tc>
          <w:tcPr>
            <w:tcW w:w="558" w:type="pct"/>
            <w:vAlign w:val="bottom"/>
          </w:tcPr>
          <w:p w14:paraId="24803EEE" w14:textId="7FE651FE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17,7</w:t>
            </w:r>
          </w:p>
        </w:tc>
        <w:tc>
          <w:tcPr>
            <w:tcW w:w="559" w:type="pct"/>
            <w:vAlign w:val="bottom"/>
          </w:tcPr>
          <w:p w14:paraId="66FB032E" w14:textId="75D10183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29,4</w:t>
            </w:r>
          </w:p>
        </w:tc>
        <w:tc>
          <w:tcPr>
            <w:tcW w:w="768" w:type="pct"/>
            <w:vAlign w:val="bottom"/>
          </w:tcPr>
          <w:p w14:paraId="46B5E9EE" w14:textId="5B132B4E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11,7</w:t>
            </w:r>
          </w:p>
        </w:tc>
        <w:tc>
          <w:tcPr>
            <w:tcW w:w="1043" w:type="pct"/>
            <w:vAlign w:val="bottom"/>
          </w:tcPr>
          <w:p w14:paraId="4BDC30B8" w14:textId="58649111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</w:tr>
      <w:tr w:rsidR="00132643" w:rsidRPr="003127E7" w14:paraId="010B93D7" w14:textId="77777777" w:rsidTr="00394213">
        <w:trPr>
          <w:trHeight w:val="854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6DCC681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İşleriniz geçen yılın aynı dönemine göre bu yıl nasıl gelişti?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EB8362E" w14:textId="0E8449DA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C034B18" w14:textId="3DFEC7A8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65649D07" w14:textId="5A7339B8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-33,5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FE8F00E" w14:textId="173133D1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25,5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64E331D" w14:textId="18371C0F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11,2</w:t>
            </w:r>
          </w:p>
        </w:tc>
      </w:tr>
      <w:tr w:rsidR="00132643" w:rsidRPr="003127E7" w14:paraId="7ABB8600" w14:textId="77777777" w:rsidTr="00394213">
        <w:tc>
          <w:tcPr>
            <w:tcW w:w="151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4334A57" w14:textId="77777777" w:rsidR="00132643" w:rsidRPr="00F31BC3" w:rsidRDefault="0013264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Mağaza sayınızın gelecek yıl nasıl değişmesini bekliyorsunuz?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2EB7BE07" w14:textId="3F38F33C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4,3</w:t>
            </w:r>
          </w:p>
        </w:tc>
        <w:tc>
          <w:tcPr>
            <w:tcW w:w="558" w:type="pct"/>
            <w:tcBorders>
              <w:bottom w:val="single" w:sz="8" w:space="0" w:color="4BACC6"/>
            </w:tcBorders>
            <w:vAlign w:val="bottom"/>
          </w:tcPr>
          <w:p w14:paraId="5A01F064" w14:textId="2B86AB9D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1770065B" w14:textId="092DE23E" w:rsidR="00132643" w:rsidRPr="00132643" w:rsidRDefault="001326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32643">
              <w:rPr>
                <w:rFonts w:cs="Calibri"/>
                <w:b/>
                <w:bCs/>
                <w:color w:val="000000"/>
              </w:rPr>
              <w:t>8,9</w:t>
            </w:r>
          </w:p>
        </w:tc>
        <w:tc>
          <w:tcPr>
            <w:tcW w:w="768" w:type="pct"/>
            <w:tcBorders>
              <w:bottom w:val="single" w:sz="8" w:space="0" w:color="4BACC6"/>
            </w:tcBorders>
            <w:vAlign w:val="bottom"/>
          </w:tcPr>
          <w:p w14:paraId="3FB0A0EF" w14:textId="6AF46EC5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</w:t>
            </w:r>
          </w:p>
        </w:tc>
        <w:tc>
          <w:tcPr>
            <w:tcW w:w="1043" w:type="pct"/>
            <w:tcBorders>
              <w:bottom w:val="single" w:sz="8" w:space="0" w:color="4BACC6"/>
            </w:tcBorders>
            <w:vAlign w:val="bottom"/>
          </w:tcPr>
          <w:p w14:paraId="761ABC6D" w14:textId="486FDDDA" w:rsidR="00132643" w:rsidRDefault="001326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</w:tr>
    </w:tbl>
    <w:p w14:paraId="07109721" w14:textId="77777777" w:rsidR="00C74691" w:rsidRDefault="00C74691" w:rsidP="00C74691"/>
    <w:p w14:paraId="0E88D1EE" w14:textId="77777777" w:rsidR="00C30485" w:rsidRDefault="00C30485" w:rsidP="00C74691"/>
    <w:p w14:paraId="31EA4D1C" w14:textId="77777777" w:rsidR="00C30485" w:rsidRDefault="00C30485" w:rsidP="00C74691"/>
    <w:p w14:paraId="17269225" w14:textId="77777777" w:rsidR="00C30485" w:rsidRPr="00604089" w:rsidRDefault="00C30485" w:rsidP="00C30485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604089">
        <w:rPr>
          <w:rFonts w:asciiTheme="minorHAnsi" w:hAnsiTheme="minorHAnsi" w:cs="Arial"/>
          <w:color w:val="0070C0"/>
          <w:sz w:val="28"/>
        </w:rPr>
        <w:t xml:space="preserve">AB’de perakende güveni </w:t>
      </w:r>
      <w:r>
        <w:rPr>
          <w:rFonts w:asciiTheme="minorHAnsi" w:hAnsiTheme="minorHAnsi" w:cs="Arial"/>
          <w:color w:val="0070C0"/>
          <w:sz w:val="28"/>
        </w:rPr>
        <w:t>geçen yıla ve geçen aya kıyasla azaldı</w:t>
      </w:r>
    </w:p>
    <w:p w14:paraId="3DC1482B" w14:textId="77777777" w:rsidR="00C30485" w:rsidRPr="00591045" w:rsidRDefault="00C30485" w:rsidP="00C30485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AB-28 Perakende Güven Endeksi, </w:t>
      </w:r>
      <w:r>
        <w:rPr>
          <w:rFonts w:asciiTheme="minorHAnsi" w:hAnsiTheme="minorHAnsi" w:cs="Arial"/>
          <w:b w:val="0"/>
          <w:color w:val="0070C0"/>
          <w:sz w:val="24"/>
        </w:rPr>
        <w:t>Aralık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2018’de </w:t>
      </w:r>
      <w:r>
        <w:rPr>
          <w:rFonts w:asciiTheme="minorHAnsi" w:hAnsiTheme="minorHAnsi" w:cs="Arial"/>
          <w:b w:val="0"/>
          <w:color w:val="0070C0"/>
          <w:sz w:val="24"/>
        </w:rPr>
        <w:t>0,3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puan değerini aldı. AB-28’de perakende güveni bir önceki aya göre </w:t>
      </w:r>
      <w:r>
        <w:rPr>
          <w:rFonts w:asciiTheme="minorHAnsi" w:hAnsiTheme="minorHAnsi" w:cs="Arial"/>
          <w:b w:val="0"/>
          <w:color w:val="0070C0"/>
          <w:sz w:val="24"/>
        </w:rPr>
        <w:t>0,8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puan, geçen yılın aynı dönemine göre </w:t>
      </w:r>
      <w:r>
        <w:rPr>
          <w:rFonts w:asciiTheme="minorHAnsi" w:hAnsiTheme="minorHAnsi" w:cs="Arial"/>
          <w:b w:val="0"/>
          <w:color w:val="0070C0"/>
          <w:sz w:val="24"/>
        </w:rPr>
        <w:t xml:space="preserve">4,8 </w:t>
      </w:r>
      <w:r w:rsidRPr="00604089">
        <w:rPr>
          <w:rFonts w:asciiTheme="minorHAnsi" w:hAnsiTheme="minorHAnsi" w:cs="Arial"/>
          <w:b w:val="0"/>
          <w:color w:val="0070C0"/>
          <w:sz w:val="24"/>
        </w:rPr>
        <w:t>puan a</w:t>
      </w:r>
      <w:r>
        <w:rPr>
          <w:rFonts w:asciiTheme="minorHAnsi" w:hAnsiTheme="minorHAnsi" w:cs="Arial"/>
          <w:b w:val="0"/>
          <w:color w:val="0070C0"/>
          <w:sz w:val="24"/>
        </w:rPr>
        <w:t>zaldı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. Türkiye, geçen yılın aynı dönemine kıyasla </w:t>
      </w:r>
      <w:r>
        <w:rPr>
          <w:rFonts w:asciiTheme="minorHAnsi" w:hAnsiTheme="minorHAnsi" w:cs="Arial"/>
          <w:b w:val="0"/>
          <w:color w:val="0070C0"/>
          <w:sz w:val="24"/>
        </w:rPr>
        <w:t xml:space="preserve">AB-28 ve </w:t>
      </w:r>
      <w:r w:rsidRPr="00604089">
        <w:rPr>
          <w:rFonts w:asciiTheme="minorHAnsi" w:hAnsiTheme="minorHAnsi" w:cs="Arial"/>
          <w:b w:val="0"/>
          <w:color w:val="0070C0"/>
          <w:sz w:val="24"/>
        </w:rPr>
        <w:t>Euro Bölgesi’nden daha iyi</w:t>
      </w:r>
      <w:r>
        <w:rPr>
          <w:rFonts w:asciiTheme="minorHAnsi" w:hAnsiTheme="minorHAnsi" w:cs="Arial"/>
          <w:b w:val="0"/>
          <w:color w:val="0070C0"/>
          <w:sz w:val="24"/>
        </w:rPr>
        <w:t xml:space="preserve"> performans </w:t>
      </w:r>
      <w:r w:rsidRPr="00604089">
        <w:rPr>
          <w:rFonts w:asciiTheme="minorHAnsi" w:hAnsiTheme="minorHAnsi" w:cs="Arial"/>
          <w:b w:val="0"/>
          <w:color w:val="0070C0"/>
          <w:sz w:val="24"/>
        </w:rPr>
        <w:t>sergiledi.</w:t>
      </w:r>
      <w:r w:rsidRPr="005824B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3AFA7256" w14:textId="77777777" w:rsidR="00C30485" w:rsidRDefault="00C30485" w:rsidP="00C30485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3501297B" w14:textId="77777777" w:rsidR="00C30485" w:rsidRDefault="00C30485" w:rsidP="00C30485">
      <w:pPr>
        <w:tabs>
          <w:tab w:val="left" w:pos="8258"/>
        </w:tabs>
        <w:spacing w:after="0"/>
        <w:rPr>
          <w:rFonts w:asciiTheme="minorHAnsi" w:hAnsiTheme="minorHAnsi"/>
        </w:rPr>
      </w:pPr>
      <w:r w:rsidRPr="003E185F">
        <w:rPr>
          <w:rFonts w:asciiTheme="minorHAnsi" w:hAnsiTheme="minorHAnsi"/>
          <w:b/>
        </w:rPr>
        <w:t>Şekil-</w:t>
      </w:r>
      <w:r>
        <w:rPr>
          <w:rFonts w:asciiTheme="minorHAnsi" w:hAnsiTheme="minorHAnsi"/>
          <w:b/>
        </w:rPr>
        <w:t>5</w:t>
      </w:r>
      <w:r w:rsidRPr="003E185F">
        <w:rPr>
          <w:rFonts w:asciiTheme="minorHAnsi" w:hAnsiTheme="minorHAnsi"/>
          <w:b/>
        </w:rPr>
        <w:t>.</w:t>
      </w:r>
      <w:r w:rsidRPr="003E185F">
        <w:rPr>
          <w:rFonts w:asciiTheme="minorHAnsi" w:hAnsiTheme="minorHAnsi"/>
        </w:rPr>
        <w:t xml:space="preserve"> TEPE ile AB-2</w:t>
      </w:r>
      <w:r>
        <w:rPr>
          <w:rFonts w:asciiTheme="minorHAnsi" w:hAnsiTheme="minorHAnsi"/>
        </w:rPr>
        <w:t>8</w:t>
      </w:r>
      <w:r w:rsidRPr="003E185F">
        <w:rPr>
          <w:rFonts w:asciiTheme="minorHAnsi" w:hAnsiTheme="minorHAnsi"/>
        </w:rPr>
        <w:t xml:space="preserve"> Perakende Endeksinin karşılaştırılması (</w:t>
      </w:r>
      <w:r>
        <w:rPr>
          <w:rFonts w:asciiTheme="minorHAnsi" w:hAnsiTheme="minorHAnsi"/>
        </w:rPr>
        <w:t>Aralık 2017</w:t>
      </w:r>
      <w:r w:rsidRPr="00662EBC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Aralık 2018</w:t>
      </w:r>
      <w:r w:rsidRPr="003E185F">
        <w:rPr>
          <w:rFonts w:asciiTheme="minorHAnsi" w:hAnsiTheme="minorHAnsi"/>
        </w:rPr>
        <w:t>)</w:t>
      </w:r>
      <w:r w:rsidRPr="00BC3791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3CF8AAD1" wp14:editId="2ABDF855">
            <wp:extent cx="5759450" cy="2584369"/>
            <wp:effectExtent l="0" t="0" r="12700" b="2603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3995A7" w14:textId="77777777" w:rsidR="00C30485" w:rsidRDefault="00C30485" w:rsidP="00C3048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3A2EEC74" w14:textId="77777777" w:rsidR="00C30485" w:rsidRDefault="00C30485" w:rsidP="00C3048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3531EE3D" w14:textId="77777777" w:rsidR="00C30485" w:rsidRPr="00A534C3" w:rsidRDefault="00C30485" w:rsidP="00C3048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Tablo-5</w:t>
      </w:r>
      <w:r w:rsidRPr="004600F3">
        <w:rPr>
          <w:rFonts w:asciiTheme="minorHAnsi" w:hAnsiTheme="minorHAnsi"/>
          <w:b/>
        </w:rPr>
        <w:t>.</w:t>
      </w:r>
      <w:r w:rsidRPr="004600F3">
        <w:rPr>
          <w:rFonts w:asciiTheme="minorHAnsi" w:hAnsiTheme="minorHAnsi"/>
        </w:rPr>
        <w:t xml:space="preserve"> AB-2</w:t>
      </w:r>
      <w:r>
        <w:rPr>
          <w:rFonts w:asciiTheme="minorHAnsi" w:hAnsiTheme="minorHAnsi"/>
        </w:rPr>
        <w:t>8</w:t>
      </w:r>
      <w:r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83" w:type="dxa"/>
        <w:jc w:val="center"/>
        <w:tblLook w:val="04A0" w:firstRow="1" w:lastRow="0" w:firstColumn="1" w:lastColumn="0" w:noHBand="0" w:noVBand="1"/>
      </w:tblPr>
      <w:tblGrid>
        <w:gridCol w:w="989"/>
        <w:gridCol w:w="706"/>
        <w:gridCol w:w="769"/>
        <w:gridCol w:w="706"/>
        <w:gridCol w:w="874"/>
        <w:gridCol w:w="769"/>
        <w:gridCol w:w="935"/>
        <w:gridCol w:w="1024"/>
        <w:gridCol w:w="1012"/>
        <w:gridCol w:w="691"/>
        <w:gridCol w:w="692"/>
        <w:gridCol w:w="847"/>
        <w:gridCol w:w="769"/>
      </w:tblGrid>
      <w:tr w:rsidR="00C30485" w:rsidRPr="003127E7" w14:paraId="3F5D5301" w14:textId="77777777" w:rsidTr="00C17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  <w:hideMark/>
          </w:tcPr>
          <w:p w14:paraId="578D7AAB" w14:textId="77777777" w:rsidR="00C30485" w:rsidRPr="00A534C3" w:rsidRDefault="00C30485" w:rsidP="00C17A8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14:paraId="69A7CA29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769" w:type="dxa"/>
            <w:noWrap/>
            <w:vAlign w:val="center"/>
            <w:hideMark/>
          </w:tcPr>
          <w:p w14:paraId="65037124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6" w:type="dxa"/>
            <w:noWrap/>
            <w:vAlign w:val="center"/>
            <w:hideMark/>
          </w:tcPr>
          <w:p w14:paraId="501861A5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74" w:type="dxa"/>
            <w:noWrap/>
            <w:vAlign w:val="center"/>
            <w:hideMark/>
          </w:tcPr>
          <w:p w14:paraId="5266E28A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69" w:type="dxa"/>
            <w:noWrap/>
            <w:vAlign w:val="center"/>
            <w:hideMark/>
          </w:tcPr>
          <w:p w14:paraId="500D9BAD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35" w:type="dxa"/>
            <w:noWrap/>
            <w:vAlign w:val="center"/>
            <w:hideMark/>
          </w:tcPr>
          <w:p w14:paraId="351A29FE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24" w:type="dxa"/>
            <w:noWrap/>
            <w:vAlign w:val="center"/>
            <w:hideMark/>
          </w:tcPr>
          <w:p w14:paraId="47C9CF90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12" w:type="dxa"/>
            <w:noWrap/>
            <w:vAlign w:val="center"/>
            <w:hideMark/>
          </w:tcPr>
          <w:p w14:paraId="242C9C6F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691" w:type="dxa"/>
            <w:noWrap/>
            <w:vAlign w:val="center"/>
            <w:hideMark/>
          </w:tcPr>
          <w:p w14:paraId="5E7A0EFC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692" w:type="dxa"/>
            <w:noWrap/>
            <w:vAlign w:val="center"/>
            <w:hideMark/>
          </w:tcPr>
          <w:p w14:paraId="0B9DD063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47" w:type="dxa"/>
            <w:noWrap/>
            <w:vAlign w:val="center"/>
            <w:hideMark/>
          </w:tcPr>
          <w:p w14:paraId="40501C96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69" w:type="dxa"/>
            <w:noWrap/>
            <w:vAlign w:val="center"/>
            <w:hideMark/>
          </w:tcPr>
          <w:p w14:paraId="5C65904A" w14:textId="77777777" w:rsidR="00C30485" w:rsidRPr="00A534C3" w:rsidRDefault="00C30485" w:rsidP="00C17A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C30485" w:rsidRPr="00B775B3" w14:paraId="43652DB9" w14:textId="77777777" w:rsidTr="00C17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7A462B52" w14:textId="77777777" w:rsidR="00C30485" w:rsidRPr="00847C02" w:rsidRDefault="00C30485" w:rsidP="00C17A8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2016</w:t>
            </w:r>
          </w:p>
        </w:tc>
        <w:tc>
          <w:tcPr>
            <w:tcW w:w="706" w:type="dxa"/>
            <w:noWrap/>
            <w:vAlign w:val="bottom"/>
          </w:tcPr>
          <w:p w14:paraId="70F8E072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4,1</w:t>
            </w:r>
          </w:p>
        </w:tc>
        <w:tc>
          <w:tcPr>
            <w:tcW w:w="769" w:type="dxa"/>
            <w:noWrap/>
            <w:vAlign w:val="bottom"/>
          </w:tcPr>
          <w:p w14:paraId="16C778C4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4,1</w:t>
            </w:r>
          </w:p>
        </w:tc>
        <w:tc>
          <w:tcPr>
            <w:tcW w:w="706" w:type="dxa"/>
            <w:noWrap/>
            <w:vAlign w:val="bottom"/>
          </w:tcPr>
          <w:p w14:paraId="7D70BAB6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3,9</w:t>
            </w:r>
          </w:p>
        </w:tc>
        <w:tc>
          <w:tcPr>
            <w:tcW w:w="874" w:type="dxa"/>
            <w:noWrap/>
            <w:vAlign w:val="bottom"/>
          </w:tcPr>
          <w:p w14:paraId="68B7CB34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1,5</w:t>
            </w:r>
          </w:p>
        </w:tc>
        <w:tc>
          <w:tcPr>
            <w:tcW w:w="769" w:type="dxa"/>
            <w:noWrap/>
            <w:vAlign w:val="bottom"/>
          </w:tcPr>
          <w:p w14:paraId="6DFB8A17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2,2</w:t>
            </w:r>
          </w:p>
        </w:tc>
        <w:tc>
          <w:tcPr>
            <w:tcW w:w="935" w:type="dxa"/>
            <w:noWrap/>
            <w:vAlign w:val="bottom"/>
          </w:tcPr>
          <w:p w14:paraId="65ED8C63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1,1</w:t>
            </w:r>
          </w:p>
        </w:tc>
        <w:tc>
          <w:tcPr>
            <w:tcW w:w="1024" w:type="dxa"/>
            <w:noWrap/>
            <w:vAlign w:val="bottom"/>
          </w:tcPr>
          <w:p w14:paraId="652FB1B7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0,7</w:t>
            </w:r>
          </w:p>
        </w:tc>
        <w:tc>
          <w:tcPr>
            <w:tcW w:w="1012" w:type="dxa"/>
            <w:noWrap/>
            <w:vAlign w:val="bottom"/>
          </w:tcPr>
          <w:p w14:paraId="71C1AE11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-0,6</w:t>
            </w:r>
          </w:p>
        </w:tc>
        <w:tc>
          <w:tcPr>
            <w:tcW w:w="691" w:type="dxa"/>
            <w:noWrap/>
            <w:vAlign w:val="bottom"/>
          </w:tcPr>
          <w:p w14:paraId="2E3FB44B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692" w:type="dxa"/>
            <w:noWrap/>
            <w:vAlign w:val="bottom"/>
          </w:tcPr>
          <w:p w14:paraId="5CF46D4C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847" w:type="dxa"/>
            <w:noWrap/>
            <w:vAlign w:val="bottom"/>
          </w:tcPr>
          <w:p w14:paraId="2811E476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4,0</w:t>
            </w:r>
          </w:p>
        </w:tc>
        <w:tc>
          <w:tcPr>
            <w:tcW w:w="769" w:type="dxa"/>
            <w:noWrap/>
            <w:vAlign w:val="bottom"/>
          </w:tcPr>
          <w:p w14:paraId="51765344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3,8</w:t>
            </w:r>
          </w:p>
        </w:tc>
      </w:tr>
      <w:tr w:rsidR="00C30485" w:rsidRPr="003127E7" w14:paraId="6B829226" w14:textId="77777777" w:rsidTr="00C17A8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1B97D9C4" w14:textId="77777777" w:rsidR="00C30485" w:rsidRDefault="00C30485" w:rsidP="00C17A8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B775B3">
              <w:rPr>
                <w:rFonts w:cs="Calibri"/>
                <w:color w:val="auto"/>
              </w:rPr>
              <w:t>2017</w:t>
            </w:r>
          </w:p>
        </w:tc>
        <w:tc>
          <w:tcPr>
            <w:tcW w:w="706" w:type="dxa"/>
            <w:noWrap/>
            <w:vAlign w:val="bottom"/>
          </w:tcPr>
          <w:p w14:paraId="2B89F997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769" w:type="dxa"/>
            <w:noWrap/>
            <w:vAlign w:val="bottom"/>
          </w:tcPr>
          <w:p w14:paraId="6738D0F9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2,2</w:t>
            </w:r>
          </w:p>
        </w:tc>
        <w:tc>
          <w:tcPr>
            <w:tcW w:w="706" w:type="dxa"/>
            <w:noWrap/>
            <w:vAlign w:val="bottom"/>
          </w:tcPr>
          <w:p w14:paraId="09B5C65D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3,6</w:t>
            </w:r>
          </w:p>
        </w:tc>
        <w:tc>
          <w:tcPr>
            <w:tcW w:w="874" w:type="dxa"/>
            <w:noWrap/>
            <w:vAlign w:val="bottom"/>
          </w:tcPr>
          <w:p w14:paraId="1D879276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769" w:type="dxa"/>
            <w:noWrap/>
            <w:vAlign w:val="bottom"/>
          </w:tcPr>
          <w:p w14:paraId="750A86F1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1,9</w:t>
            </w:r>
          </w:p>
        </w:tc>
        <w:tc>
          <w:tcPr>
            <w:tcW w:w="935" w:type="dxa"/>
            <w:noWrap/>
            <w:vAlign w:val="bottom"/>
          </w:tcPr>
          <w:p w14:paraId="2FE7AFBB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1024" w:type="dxa"/>
            <w:noWrap/>
            <w:vAlign w:val="bottom"/>
          </w:tcPr>
          <w:p w14:paraId="664D6D3A" w14:textId="77777777" w:rsidR="00C3048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5,1</w:t>
            </w:r>
          </w:p>
        </w:tc>
        <w:tc>
          <w:tcPr>
            <w:tcW w:w="1012" w:type="dxa"/>
            <w:noWrap/>
            <w:vAlign w:val="bottom"/>
          </w:tcPr>
          <w:p w14:paraId="4364312C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691" w:type="dxa"/>
            <w:noWrap/>
            <w:vAlign w:val="bottom"/>
          </w:tcPr>
          <w:p w14:paraId="75BF3C6C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3,3</w:t>
            </w:r>
          </w:p>
        </w:tc>
        <w:tc>
          <w:tcPr>
            <w:tcW w:w="692" w:type="dxa"/>
            <w:noWrap/>
            <w:vAlign w:val="bottom"/>
          </w:tcPr>
          <w:p w14:paraId="447DFA76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3,1</w:t>
            </w:r>
          </w:p>
        </w:tc>
        <w:tc>
          <w:tcPr>
            <w:tcW w:w="847" w:type="dxa"/>
            <w:noWrap/>
            <w:vAlign w:val="bottom"/>
          </w:tcPr>
          <w:p w14:paraId="2FFE6B0B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5,3</w:t>
            </w:r>
          </w:p>
        </w:tc>
        <w:tc>
          <w:tcPr>
            <w:tcW w:w="769" w:type="dxa"/>
            <w:noWrap/>
            <w:vAlign w:val="bottom"/>
          </w:tcPr>
          <w:p w14:paraId="4E5D473B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5,1</w:t>
            </w:r>
          </w:p>
        </w:tc>
      </w:tr>
      <w:tr w:rsidR="00C30485" w:rsidRPr="00B775B3" w14:paraId="46F751FC" w14:textId="77777777" w:rsidTr="00C17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0B2DB558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2018</w:t>
            </w:r>
          </w:p>
        </w:tc>
        <w:tc>
          <w:tcPr>
            <w:tcW w:w="706" w:type="dxa"/>
            <w:noWrap/>
            <w:vAlign w:val="bottom"/>
          </w:tcPr>
          <w:p w14:paraId="739295E8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3,3</w:t>
            </w:r>
          </w:p>
        </w:tc>
        <w:tc>
          <w:tcPr>
            <w:tcW w:w="769" w:type="dxa"/>
            <w:noWrap/>
            <w:vAlign w:val="bottom"/>
          </w:tcPr>
          <w:p w14:paraId="598DD42D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706" w:type="dxa"/>
            <w:noWrap/>
            <w:vAlign w:val="bottom"/>
          </w:tcPr>
          <w:p w14:paraId="31119598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874" w:type="dxa"/>
            <w:noWrap/>
            <w:vAlign w:val="bottom"/>
          </w:tcPr>
          <w:p w14:paraId="0AA4BA7E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769" w:type="dxa"/>
            <w:noWrap/>
            <w:vAlign w:val="bottom"/>
          </w:tcPr>
          <w:p w14:paraId="6C93382E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1,9</w:t>
            </w:r>
          </w:p>
        </w:tc>
        <w:tc>
          <w:tcPr>
            <w:tcW w:w="935" w:type="dxa"/>
            <w:noWrap/>
            <w:vAlign w:val="bottom"/>
          </w:tcPr>
          <w:p w14:paraId="66DF36B1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1024" w:type="dxa"/>
            <w:noWrap/>
            <w:vAlign w:val="bottom"/>
          </w:tcPr>
          <w:p w14:paraId="1C42196B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1012" w:type="dxa"/>
            <w:noWrap/>
            <w:vAlign w:val="bottom"/>
          </w:tcPr>
          <w:p w14:paraId="2ED5CDAD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  <w:tc>
          <w:tcPr>
            <w:tcW w:w="691" w:type="dxa"/>
            <w:noWrap/>
            <w:vAlign w:val="bottom"/>
          </w:tcPr>
          <w:p w14:paraId="5B403B57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4,1</w:t>
            </w:r>
          </w:p>
        </w:tc>
        <w:tc>
          <w:tcPr>
            <w:tcW w:w="692" w:type="dxa"/>
            <w:noWrap/>
            <w:vAlign w:val="bottom"/>
          </w:tcPr>
          <w:p w14:paraId="4A315C1C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847" w:type="dxa"/>
            <w:noWrap/>
            <w:vAlign w:val="bottom"/>
          </w:tcPr>
          <w:p w14:paraId="62A78067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769" w:type="dxa"/>
            <w:noWrap/>
            <w:vAlign w:val="bottom"/>
          </w:tcPr>
          <w:p w14:paraId="4EF5CE47" w14:textId="77777777" w:rsidR="00C30485" w:rsidRPr="00B775B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</w:tr>
    </w:tbl>
    <w:p w14:paraId="1911025F" w14:textId="77777777" w:rsidR="00C30485" w:rsidRPr="00B775B3" w:rsidRDefault="00C30485" w:rsidP="00C3048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3C94B77A" w14:textId="77777777" w:rsidR="00C30485" w:rsidRDefault="00C30485" w:rsidP="00C30485">
      <w:pPr>
        <w:spacing w:after="0"/>
        <w:jc w:val="center"/>
        <w:rPr>
          <w:rFonts w:asciiTheme="minorHAnsi" w:hAnsiTheme="minorHAnsi" w:cs="Arial"/>
        </w:rPr>
      </w:pPr>
    </w:p>
    <w:p w14:paraId="304F894E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765341D6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73119A09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054F4FAC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4EB02B76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57802DA0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6B633235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578A0859" w14:textId="77777777" w:rsidR="00C30485" w:rsidRDefault="00C30485" w:rsidP="00C30485">
      <w:pPr>
        <w:spacing w:after="0"/>
        <w:rPr>
          <w:rFonts w:asciiTheme="minorHAnsi" w:hAnsiTheme="minorHAnsi" w:cs="Arial"/>
        </w:rPr>
      </w:pPr>
    </w:p>
    <w:p w14:paraId="656F2A27" w14:textId="77777777" w:rsidR="00C30485" w:rsidRPr="00604089" w:rsidRDefault="00C30485" w:rsidP="00C30485">
      <w:pPr>
        <w:pStyle w:val="Balk2"/>
        <w:spacing w:before="0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Pr="00604089">
        <w:rPr>
          <w:rFonts w:asciiTheme="minorHAnsi" w:hAnsiTheme="minorHAnsi" w:cs="Arial"/>
          <w:color w:val="0070C0"/>
          <w:sz w:val="28"/>
        </w:rPr>
        <w:t xml:space="preserve">Perakende güveninde Türkiye, geçen yıla göre değişimde </w:t>
      </w:r>
      <w:r>
        <w:rPr>
          <w:rFonts w:asciiTheme="minorHAnsi" w:hAnsiTheme="minorHAnsi" w:cs="Arial"/>
          <w:color w:val="0070C0"/>
          <w:sz w:val="28"/>
        </w:rPr>
        <w:t>AB-28 ve Euro Bölgesi’n</w:t>
      </w:r>
      <w:r w:rsidRPr="00604089">
        <w:rPr>
          <w:rFonts w:asciiTheme="minorHAnsi" w:hAnsiTheme="minorHAnsi" w:cs="Arial"/>
          <w:color w:val="0070C0"/>
          <w:sz w:val="28"/>
        </w:rPr>
        <w:t xml:space="preserve">den daha </w:t>
      </w:r>
      <w:r>
        <w:rPr>
          <w:rFonts w:asciiTheme="minorHAnsi" w:hAnsiTheme="minorHAnsi" w:cs="Arial"/>
          <w:color w:val="0070C0"/>
          <w:sz w:val="28"/>
        </w:rPr>
        <w:t xml:space="preserve">iyi </w:t>
      </w:r>
      <w:r w:rsidRPr="00604089">
        <w:rPr>
          <w:rFonts w:asciiTheme="minorHAnsi" w:hAnsiTheme="minorHAnsi" w:cs="Arial"/>
          <w:color w:val="0070C0"/>
          <w:sz w:val="28"/>
        </w:rPr>
        <w:t>performans sergiledi</w:t>
      </w:r>
    </w:p>
    <w:p w14:paraId="74B1029D" w14:textId="77777777" w:rsidR="00C30485" w:rsidRPr="00351441" w:rsidRDefault="00C30485" w:rsidP="00C30485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AB-28 ülkeleri ve Türkiye’nin Perakende Güven Endeksi değerlerine bakıldığında </w:t>
      </w:r>
      <w:r>
        <w:rPr>
          <w:rFonts w:asciiTheme="minorHAnsi" w:hAnsiTheme="minorHAnsi" w:cs="Arial"/>
          <w:b w:val="0"/>
          <w:color w:val="0070C0"/>
          <w:sz w:val="24"/>
        </w:rPr>
        <w:t>Yunanistan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>
        <w:rPr>
          <w:rFonts w:asciiTheme="minorHAnsi" w:hAnsiTheme="minorHAnsi" w:cs="Arial"/>
          <w:b w:val="0"/>
          <w:color w:val="0070C0"/>
          <w:sz w:val="24"/>
        </w:rPr>
        <w:t>Aralık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ayında geçen yıla göre en fazla artış yaşayan ülke oldu. </w:t>
      </w:r>
      <w:r>
        <w:rPr>
          <w:rFonts w:asciiTheme="minorHAnsi" w:hAnsiTheme="minorHAnsi" w:cs="Arial"/>
          <w:b w:val="0"/>
          <w:color w:val="0070C0"/>
          <w:sz w:val="24"/>
        </w:rPr>
        <w:t>Yunanistan’ı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Slovakya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>
        <w:rPr>
          <w:rFonts w:asciiTheme="minorHAnsi" w:hAnsiTheme="minorHAnsi" w:cs="Arial"/>
          <w:b w:val="0"/>
          <w:color w:val="0070C0"/>
          <w:sz w:val="24"/>
        </w:rPr>
        <w:t>Türkiye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takip etti. Endeks değeri geçen yıla göre en fazla düşen ülkeler ise sırasıyla </w:t>
      </w:r>
      <w:r>
        <w:rPr>
          <w:rFonts w:asciiTheme="minorHAnsi" w:hAnsiTheme="minorHAnsi" w:cs="Arial"/>
          <w:b w:val="0"/>
          <w:color w:val="0070C0"/>
          <w:sz w:val="24"/>
        </w:rPr>
        <w:t>Malta, Avusturya ve Slovenya o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ldu. Bir önceki aya göre en fazla artış </w:t>
      </w:r>
      <w:r>
        <w:rPr>
          <w:rFonts w:asciiTheme="minorHAnsi" w:hAnsiTheme="minorHAnsi" w:cs="Arial"/>
          <w:b w:val="0"/>
          <w:color w:val="0070C0"/>
          <w:sz w:val="24"/>
        </w:rPr>
        <w:t>Yunanistan’da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yaşandı. Perakende Güven Endeksinde, </w:t>
      </w:r>
      <w:r>
        <w:rPr>
          <w:rFonts w:asciiTheme="minorHAnsi" w:hAnsiTheme="minorHAnsi" w:cs="Arial"/>
          <w:b w:val="0"/>
          <w:color w:val="0070C0"/>
          <w:sz w:val="24"/>
        </w:rPr>
        <w:t>Aralık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2017’ye göre değişim AB-28’de </w:t>
      </w:r>
      <w:r>
        <w:rPr>
          <w:rFonts w:asciiTheme="minorHAnsi" w:hAnsiTheme="minorHAnsi" w:cs="Arial"/>
          <w:b w:val="0"/>
          <w:color w:val="0070C0"/>
          <w:sz w:val="24"/>
        </w:rPr>
        <w:t xml:space="preserve">ve 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Euro Bölgesi’nde </w:t>
      </w:r>
      <w:r>
        <w:rPr>
          <w:rFonts w:asciiTheme="minorHAnsi" w:hAnsiTheme="minorHAnsi" w:cs="Arial"/>
          <w:b w:val="0"/>
          <w:color w:val="0070C0"/>
          <w:sz w:val="24"/>
        </w:rPr>
        <w:t>-4,8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puan oldu. </w:t>
      </w:r>
      <w:r>
        <w:rPr>
          <w:rFonts w:asciiTheme="minorHAnsi" w:hAnsiTheme="minorHAnsi" w:cs="Arial"/>
          <w:b w:val="0"/>
          <w:color w:val="0070C0"/>
          <w:sz w:val="24"/>
        </w:rPr>
        <w:t>Kasım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2018’e göre değişim incelendiğinde ise Türkiye’nin, </w:t>
      </w:r>
      <w:r>
        <w:rPr>
          <w:rFonts w:asciiTheme="minorHAnsi" w:hAnsiTheme="minorHAnsi" w:cs="Arial"/>
          <w:b w:val="0"/>
          <w:color w:val="0070C0"/>
          <w:sz w:val="24"/>
        </w:rPr>
        <w:t xml:space="preserve">AB-28 ve 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Euro Bölgesi’nden daha </w:t>
      </w:r>
      <w:r>
        <w:rPr>
          <w:rFonts w:asciiTheme="minorHAnsi" w:hAnsiTheme="minorHAnsi" w:cs="Arial"/>
          <w:b w:val="0"/>
          <w:color w:val="0070C0"/>
          <w:sz w:val="24"/>
        </w:rPr>
        <w:t>iyi</w:t>
      </w:r>
      <w:r w:rsidRPr="00604089">
        <w:rPr>
          <w:rFonts w:asciiTheme="minorHAnsi" w:hAnsiTheme="minorHAnsi" w:cs="Arial"/>
          <w:b w:val="0"/>
          <w:color w:val="0070C0"/>
          <w:sz w:val="24"/>
        </w:rPr>
        <w:t xml:space="preserve"> performans sergilediği görüldü</w:t>
      </w:r>
      <w:r w:rsidRPr="008A467F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5BE492E" w14:textId="77777777" w:rsidR="00C30485" w:rsidRDefault="00C30485" w:rsidP="00C3048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Tablo-6</w:t>
      </w:r>
      <w:r w:rsidRPr="00FE7648">
        <w:rPr>
          <w:rFonts w:asciiTheme="minorHAnsi" w:hAnsiTheme="minorHAnsi"/>
          <w:b/>
        </w:rPr>
        <w:t>.</w:t>
      </w:r>
      <w:r w:rsidRPr="00FE7648">
        <w:rPr>
          <w:rFonts w:asciiTheme="minorHAnsi" w:hAnsiTheme="minorHAnsi"/>
        </w:rPr>
        <w:t xml:space="preserve"> AB-2</w:t>
      </w:r>
      <w:r>
        <w:rPr>
          <w:rFonts w:asciiTheme="minorHAnsi" w:hAnsiTheme="minorHAnsi"/>
        </w:rPr>
        <w:t>8</w:t>
      </w:r>
      <w:r w:rsidRPr="00FE7648">
        <w:rPr>
          <w:rFonts w:asciiTheme="minorHAnsi" w:hAnsiTheme="minorHAnsi"/>
        </w:rPr>
        <w:t xml:space="preserve"> Ülkeleri ve Türkiye’nin Perakende Güven Endeksi karşılaştırmaları (</w:t>
      </w:r>
      <w:r>
        <w:rPr>
          <w:rFonts w:asciiTheme="minorHAnsi" w:hAnsiTheme="minorHAnsi"/>
        </w:rPr>
        <w:t>Aralık 2017 ve Kasım 2018</w:t>
      </w:r>
      <w:r w:rsidRPr="00FE7648">
        <w:rPr>
          <w:rFonts w:asciiTheme="minorHAnsi" w:hAnsiTheme="minorHAnsi"/>
        </w:rPr>
        <w:t>’</w:t>
      </w:r>
      <w:r>
        <w:rPr>
          <w:rFonts w:asciiTheme="minorHAnsi" w:hAnsiTheme="minorHAnsi"/>
        </w:rPr>
        <w:t>e</w:t>
      </w:r>
      <w:r w:rsidRPr="00FE7648">
        <w:rPr>
          <w:rFonts w:asciiTheme="minorHAnsi" w:hAnsiTheme="minorHAnsi"/>
        </w:rPr>
        <w:t xml:space="preserve"> göre) 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260"/>
        <w:gridCol w:w="3122"/>
      </w:tblGrid>
      <w:tr w:rsidR="00C30485" w:rsidRPr="002A6100" w14:paraId="5CEC99D0" w14:textId="77777777" w:rsidTr="00C17A82">
        <w:trPr>
          <w:trHeight w:val="66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14:paraId="300A4533" w14:textId="77777777" w:rsidR="00C30485" w:rsidRPr="006F08E2" w:rsidRDefault="00C30485" w:rsidP="00C17A8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Ülkeler</w:t>
            </w: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150D870D" w14:textId="77777777" w:rsidR="00C30485" w:rsidRPr="006F08E2" w:rsidRDefault="00C30485" w:rsidP="00C17A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Aralık 2017’ye</w:t>
            </w:r>
            <w:r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 göre Perakende Güven Endeksi’ndeki Değişim (Puan)**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4302C92D" w14:textId="77777777" w:rsidR="00C30485" w:rsidRPr="006F08E2" w:rsidRDefault="00C30485" w:rsidP="00C17A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 xml:space="preserve">Kasım </w:t>
            </w:r>
            <w:r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201</w:t>
            </w:r>
            <w:r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8</w:t>
            </w:r>
            <w:r w:rsidRPr="006F08E2">
              <w:rPr>
                <w:rFonts w:eastAsia="Times New Roman"/>
                <w:b/>
                <w:bCs/>
                <w:color w:val="FFFFFF"/>
                <w:sz w:val="21"/>
                <w:szCs w:val="21"/>
                <w:lang w:eastAsia="tr-TR"/>
              </w:rPr>
              <w:t>’e göre Perakende Güven Endeksi’ndeki Değişim (Puan)</w:t>
            </w:r>
          </w:p>
        </w:tc>
      </w:tr>
      <w:tr w:rsidR="00C30485" w:rsidRPr="002A6100" w14:paraId="44791748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BD5B1ED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Yunanistan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017CA7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18,8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BBFB46A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8,4</w:t>
            </w:r>
          </w:p>
        </w:tc>
      </w:tr>
      <w:tr w:rsidR="00C30485" w:rsidRPr="002A6100" w14:paraId="30D5BAB6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47EF7A6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Slovakya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5EF9AFC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11,0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4197CCF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6,6</w:t>
            </w:r>
          </w:p>
        </w:tc>
      </w:tr>
      <w:tr w:rsidR="00C30485" w:rsidRPr="00C42103" w14:paraId="338B96DC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68A3B9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Türkiye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35DAE3F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7,3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BF29003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7,4</w:t>
            </w:r>
          </w:p>
        </w:tc>
      </w:tr>
      <w:tr w:rsidR="00C30485" w:rsidRPr="002A6100" w14:paraId="2D4F0A1E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D27529D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Belçika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898F899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85DBD3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C30485" w:rsidRPr="002A6100" w14:paraId="509A907B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C43D9EB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Estonya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20BEEFA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4,0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EDBC828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2,8</w:t>
            </w:r>
          </w:p>
        </w:tc>
      </w:tr>
      <w:tr w:rsidR="00C30485" w:rsidRPr="00C8657D" w14:paraId="4C9235AA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4A59261" w14:textId="77777777" w:rsidR="00C30485" w:rsidRPr="00CE157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Letonya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ED68F4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3,3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4E0510D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2,9</w:t>
            </w:r>
          </w:p>
        </w:tc>
      </w:tr>
      <w:tr w:rsidR="00C30485" w:rsidRPr="00F31643" w14:paraId="1A327E13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021A1B6" w14:textId="77777777" w:rsidR="00C30485" w:rsidRPr="009F5872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Danimarka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5458C9F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83090DF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8,0</w:t>
            </w:r>
          </w:p>
        </w:tc>
      </w:tr>
      <w:tr w:rsidR="00C30485" w:rsidRPr="002A6100" w14:paraId="76C3CA7F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E1B682F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Çek Cumhuriyeti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C789F47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A833637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1,1</w:t>
            </w:r>
          </w:p>
        </w:tc>
      </w:tr>
      <w:tr w:rsidR="00C30485" w:rsidRPr="002A6100" w14:paraId="4CEB6EFC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03C6744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Bulgaristan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852829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06850AA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2,6</w:t>
            </w:r>
          </w:p>
        </w:tc>
      </w:tr>
      <w:tr w:rsidR="00C30485" w:rsidRPr="00C8657D" w14:paraId="28B5ED91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F0DA298" w14:textId="77777777" w:rsidR="00C30485" w:rsidRPr="00CE1575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Sırbistan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9239462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500547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1,7</w:t>
            </w:r>
          </w:p>
        </w:tc>
      </w:tr>
      <w:tr w:rsidR="00C30485" w:rsidRPr="002A6100" w14:paraId="50DD33D3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667A951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Litvanya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1D779DE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26B13A3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-3,7</w:t>
            </w:r>
          </w:p>
        </w:tc>
      </w:tr>
      <w:tr w:rsidR="00C30485" w:rsidRPr="002A6100" w14:paraId="398F519E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119F6CD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Karadağ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C1DE572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1F8317C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-4,0</w:t>
            </w:r>
          </w:p>
        </w:tc>
      </w:tr>
      <w:tr w:rsidR="00C30485" w:rsidRPr="00A767AC" w14:paraId="77708107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A3ADFA2" w14:textId="77777777" w:rsidR="00C30485" w:rsidRPr="0078350D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İspanya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FA21D6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0,2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94E99D7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C30485" w:rsidRPr="00091AC2" w14:paraId="63CE478E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212E507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Romanya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E8FE3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A6D07B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7,1</w:t>
            </w:r>
          </w:p>
        </w:tc>
      </w:tr>
      <w:tr w:rsidR="00C30485" w:rsidRPr="00260409" w14:paraId="49469CCA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B9BFC62" w14:textId="77777777" w:rsidR="00C30485" w:rsidRPr="005302A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Portekiz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A2E27BA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-1,3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7B6C23E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0,3</w:t>
            </w:r>
          </w:p>
        </w:tc>
      </w:tr>
      <w:tr w:rsidR="00C30485" w:rsidRPr="00E44499" w14:paraId="03A158F4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4F9CA2D" w14:textId="77777777" w:rsidR="00C30485" w:rsidRPr="0026040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Hollanda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DCDDD30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-2,2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DAB6729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3,9</w:t>
            </w:r>
          </w:p>
        </w:tc>
      </w:tr>
      <w:tr w:rsidR="00C30485" w:rsidRPr="005302A3" w14:paraId="7169D286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DE3FF0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Polonya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C47B5F9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-2,3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61CFED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0,9</w:t>
            </w:r>
          </w:p>
        </w:tc>
      </w:tr>
      <w:tr w:rsidR="00C30485" w:rsidRPr="00920A89" w14:paraId="1CD7D0F3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3BE5D03" w14:textId="77777777" w:rsidR="00C30485" w:rsidRPr="00167F7B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İsveç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902F902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-2,9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2178F0E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-0,1</w:t>
            </w:r>
          </w:p>
        </w:tc>
      </w:tr>
      <w:tr w:rsidR="00C30485" w:rsidRPr="00F31643" w14:paraId="364DD0DE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E77AAFC" w14:textId="77777777" w:rsidR="00C30485" w:rsidRPr="009F5872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Makedonya Cumhuriyeti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FE73B91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-3,6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4E5287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-0,3</w:t>
            </w:r>
          </w:p>
        </w:tc>
      </w:tr>
      <w:tr w:rsidR="00C30485" w:rsidRPr="00CE1575" w14:paraId="389BFF15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252AF9C" w14:textId="77777777" w:rsidR="00C30485" w:rsidRPr="0026040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Finlandiya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27E12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-4,3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9F50A61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0,7</w:t>
            </w:r>
          </w:p>
        </w:tc>
      </w:tr>
      <w:tr w:rsidR="00C30485" w:rsidRPr="00C42103" w14:paraId="17FC3282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395AC48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AB-28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FFF3653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-4,8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CD3E4C4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-0,8</w:t>
            </w:r>
          </w:p>
        </w:tc>
      </w:tr>
      <w:tr w:rsidR="00C30485" w:rsidRPr="00C42103" w14:paraId="42AB5661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12A701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Euro Bölgesi-19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41A9AB7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-4,8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BAE2416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color w:val="FF0000"/>
                <w:sz w:val="20"/>
                <w:szCs w:val="20"/>
              </w:rPr>
              <w:t>0,5</w:t>
            </w:r>
          </w:p>
        </w:tc>
      </w:tr>
      <w:tr w:rsidR="00C30485" w:rsidRPr="00CE7660" w14:paraId="6CE3C02D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21DA0C7" w14:textId="77777777" w:rsidR="00C30485" w:rsidRPr="00C8657D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Hırvatistan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5ADCE75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-5,4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7D62203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5,2</w:t>
            </w:r>
          </w:p>
        </w:tc>
      </w:tr>
      <w:tr w:rsidR="00C30485" w:rsidRPr="009F5872" w14:paraId="6B1E261D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8507E8C" w14:textId="77777777" w:rsidR="00C30485" w:rsidRPr="00CE7660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Almanya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313B8F8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-5,5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6ABE286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-0,5</w:t>
            </w:r>
          </w:p>
        </w:tc>
      </w:tr>
      <w:tr w:rsidR="00C30485" w:rsidRPr="00CE7660" w14:paraId="1CDC5ECC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EA914E7" w14:textId="77777777" w:rsidR="00C30485" w:rsidRPr="002C05AE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Macaristan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93D130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-5,6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CCEE3D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-1,9</w:t>
            </w:r>
          </w:p>
        </w:tc>
      </w:tr>
      <w:tr w:rsidR="00C30485" w:rsidRPr="002A6100" w14:paraId="0F2CED46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D2D7A45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İngiltere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4B891D0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-8,1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7BED638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-9,0</w:t>
            </w:r>
          </w:p>
        </w:tc>
      </w:tr>
      <w:tr w:rsidR="00C30485" w:rsidRPr="009F5872" w14:paraId="7BDDAFA3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997627B" w14:textId="77777777" w:rsidR="00C30485" w:rsidRPr="00CE7660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Fransa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FA9F089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-8,5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57D882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-2,8</w:t>
            </w:r>
          </w:p>
        </w:tc>
      </w:tr>
      <w:tr w:rsidR="00C30485" w:rsidRPr="002A6100" w14:paraId="4983E509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2A7EE24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Güney Kıbrıs Rum Yönetimi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F677A2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-8,5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FC6D270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-3,7</w:t>
            </w:r>
          </w:p>
        </w:tc>
      </w:tr>
      <w:tr w:rsidR="00C30485" w:rsidRPr="002A6100" w14:paraId="1EBE9904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3F655A5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İtalya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C4090CD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-8,7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3FFFDF6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2,7</w:t>
            </w:r>
          </w:p>
        </w:tc>
      </w:tr>
      <w:tr w:rsidR="00C30485" w:rsidRPr="00E44499" w14:paraId="0939A98C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100EF58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Slovenya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BEAC1FB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-8,7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820B12C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4,8</w:t>
            </w:r>
          </w:p>
        </w:tc>
      </w:tr>
      <w:tr w:rsidR="00C30485" w:rsidRPr="002A6100" w14:paraId="15B1112B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42A1B0F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Avusturya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5CAE98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-10,3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4A2D423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4,5</w:t>
            </w:r>
          </w:p>
        </w:tc>
      </w:tr>
      <w:tr w:rsidR="00C30485" w:rsidRPr="002A6100" w14:paraId="51A9E08A" w14:textId="77777777" w:rsidTr="00C17A82">
        <w:trPr>
          <w:trHeight w:val="211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4EC58EA" w14:textId="77777777" w:rsidR="00C30485" w:rsidRPr="00920A89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42103">
              <w:rPr>
                <w:rFonts w:cs="Calibri"/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A1BEEFC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-31,1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CAC1B8D" w14:textId="77777777" w:rsidR="00C30485" w:rsidRPr="00C42103" w:rsidRDefault="00C30485" w:rsidP="00C1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42103">
              <w:rPr>
                <w:rFonts w:cs="Calibri"/>
                <w:sz w:val="20"/>
                <w:szCs w:val="20"/>
              </w:rPr>
              <w:t>-27,5</w:t>
            </w:r>
          </w:p>
        </w:tc>
      </w:tr>
    </w:tbl>
    <w:p w14:paraId="7D17F2AF" w14:textId="77777777" w:rsidR="00C30485" w:rsidRDefault="00C30485" w:rsidP="00C30485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>
        <w:rPr>
          <w:rFonts w:asciiTheme="minorHAnsi" w:hAnsiTheme="minorHAnsi" w:cs="Arial"/>
          <w:b/>
          <w:i/>
          <w:sz w:val="18"/>
        </w:rPr>
        <w:t>*</w:t>
      </w:r>
      <w:proofErr w:type="spellStart"/>
      <w:r>
        <w:rPr>
          <w:rFonts w:asciiTheme="minorHAnsi" w:hAnsiTheme="minorHAnsi" w:cs="Arial"/>
          <w:b/>
          <w:i/>
          <w:sz w:val="18"/>
        </w:rPr>
        <w:t>Eurostat</w:t>
      </w:r>
      <w:proofErr w:type="spellEnd"/>
      <w:r>
        <w:rPr>
          <w:rFonts w:asciiTheme="minorHAnsi" w:hAnsiTheme="minorHAnsi" w:cs="Arial"/>
          <w:b/>
          <w:i/>
          <w:sz w:val="18"/>
        </w:rPr>
        <w:t xml:space="preserve"> tarafından Temmuz 2017’den itibaren Makedonya, Karadağ ve Sırbistan da ülke verilerine eklenmiştir.</w:t>
      </w:r>
    </w:p>
    <w:p w14:paraId="1AC61AA3" w14:textId="77777777" w:rsidR="00C30485" w:rsidRPr="009E643A" w:rsidRDefault="00C30485" w:rsidP="00C30485">
      <w:pPr>
        <w:tabs>
          <w:tab w:val="center" w:pos="4535"/>
          <w:tab w:val="left" w:pos="6497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 w:rsidRPr="00F872CA">
        <w:rPr>
          <w:rFonts w:asciiTheme="minorHAnsi" w:hAnsiTheme="minorHAnsi" w:cs="Arial"/>
          <w:b/>
          <w:i/>
          <w:sz w:val="18"/>
        </w:rPr>
        <w:t xml:space="preserve">**Sıralama </w:t>
      </w:r>
      <w:r>
        <w:rPr>
          <w:rFonts w:asciiTheme="minorHAnsi" w:hAnsiTheme="minorHAnsi" w:cs="Arial"/>
          <w:b/>
          <w:i/>
          <w:sz w:val="18"/>
        </w:rPr>
        <w:t>Aralık 2017</w:t>
      </w:r>
      <w:r w:rsidRPr="00F872CA">
        <w:rPr>
          <w:rFonts w:asciiTheme="minorHAnsi" w:hAnsiTheme="minorHAnsi" w:cs="Arial"/>
          <w:b/>
          <w:i/>
          <w:sz w:val="18"/>
        </w:rPr>
        <w:t xml:space="preserve"> değişimine göre yapılmıştır.</w:t>
      </w:r>
      <w:r w:rsidRPr="00F872CA">
        <w:rPr>
          <w:rFonts w:asciiTheme="minorHAnsi" w:hAnsiTheme="minorHAnsi" w:cs="Arial"/>
          <w:b/>
          <w:i/>
          <w:sz w:val="18"/>
        </w:rPr>
        <w:tab/>
      </w:r>
      <w:r>
        <w:rPr>
          <w:rFonts w:asciiTheme="minorHAnsi" w:hAnsiTheme="minorHAnsi" w:cs="Arial"/>
          <w:b/>
          <w:i/>
          <w:sz w:val="18"/>
        </w:rPr>
        <w:tab/>
      </w:r>
    </w:p>
    <w:p w14:paraId="049D071D" w14:textId="77777777" w:rsidR="00C30485" w:rsidRPr="00C74691" w:rsidRDefault="00C30485" w:rsidP="00C74691"/>
    <w:p w14:paraId="22827A79" w14:textId="77777777" w:rsidR="008866B1" w:rsidRDefault="008866B1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5C047A4C" w14:textId="61357D24" w:rsidR="00201819" w:rsidRPr="00732EE0" w:rsidRDefault="005056DC" w:rsidP="0071454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  <w:r w:rsidRPr="00732EE0">
        <w:rPr>
          <w:rFonts w:asciiTheme="minorHAnsi" w:hAnsiTheme="minorHAnsi" w:cs="Arial"/>
          <w:color w:val="0070C0"/>
          <w:sz w:val="28"/>
        </w:rPr>
        <w:t>Konya’da</w:t>
      </w:r>
      <w:r w:rsidR="007B04EA" w:rsidRPr="00732EE0">
        <w:rPr>
          <w:rFonts w:asciiTheme="minorHAnsi" w:hAnsiTheme="minorHAnsi" w:cs="Arial"/>
          <w:color w:val="0070C0"/>
          <w:sz w:val="28"/>
        </w:rPr>
        <w:t xml:space="preserve"> </w:t>
      </w:r>
      <w:r w:rsidRPr="00732EE0">
        <w:rPr>
          <w:rFonts w:asciiTheme="minorHAnsi" w:hAnsiTheme="minorHAnsi" w:cs="Arial"/>
          <w:color w:val="0070C0"/>
          <w:sz w:val="28"/>
        </w:rPr>
        <w:t>p</w:t>
      </w:r>
      <w:r w:rsidR="00201819" w:rsidRPr="00732EE0">
        <w:rPr>
          <w:rFonts w:asciiTheme="minorHAnsi" w:hAnsiTheme="minorHAnsi" w:cs="Arial"/>
          <w:color w:val="0070C0"/>
          <w:sz w:val="28"/>
        </w:rPr>
        <w:t>erakende güveni</w:t>
      </w:r>
      <w:r w:rsidR="00143759" w:rsidRPr="00732EE0">
        <w:rPr>
          <w:rFonts w:asciiTheme="minorHAnsi" w:hAnsiTheme="minorHAnsi" w:cs="Arial"/>
          <w:color w:val="0070C0"/>
          <w:sz w:val="28"/>
        </w:rPr>
        <w:t xml:space="preserve"> </w:t>
      </w:r>
      <w:r w:rsidR="00BF1065">
        <w:rPr>
          <w:rFonts w:asciiTheme="minorHAnsi" w:hAnsiTheme="minorHAnsi" w:cs="Arial"/>
          <w:color w:val="0070C0"/>
          <w:sz w:val="28"/>
        </w:rPr>
        <w:t xml:space="preserve">geçen yıla </w:t>
      </w:r>
      <w:r w:rsidR="002B6805">
        <w:rPr>
          <w:rFonts w:asciiTheme="minorHAnsi" w:hAnsiTheme="minorHAnsi" w:cs="Arial"/>
          <w:color w:val="0070C0"/>
          <w:sz w:val="28"/>
        </w:rPr>
        <w:t>göre azaldı</w:t>
      </w:r>
    </w:p>
    <w:p w14:paraId="32D48C27" w14:textId="77777777" w:rsidR="00201819" w:rsidRPr="00A1408B" w:rsidRDefault="00201819" w:rsidP="0020181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A1408B">
        <w:rPr>
          <w:rFonts w:asciiTheme="minorHAnsi" w:hAnsiTheme="minorHAnsi" w:cs="Arial"/>
          <w:b w:val="0"/>
          <w:color w:val="0070C0"/>
          <w:sz w:val="24"/>
        </w:rPr>
        <w:t>TEPAV ve Konya Ticaret Odası (KTO) işbirliğinde gerçekleştirilen Konya Perakende Güven Endeksi (KOPE) kapsamında</w:t>
      </w:r>
      <w:r w:rsidR="008C1CC7">
        <w:rPr>
          <w:rFonts w:asciiTheme="minorHAnsi" w:hAnsiTheme="minorHAnsi" w:cs="Arial"/>
          <w:b w:val="0"/>
          <w:color w:val="0070C0"/>
          <w:sz w:val="24"/>
        </w:rPr>
        <w:t>,</w:t>
      </w:r>
      <w:r w:rsidRPr="00A1408B">
        <w:rPr>
          <w:rFonts w:asciiTheme="minorHAnsi" w:hAnsiTheme="minorHAnsi" w:cs="Arial"/>
          <w:b w:val="0"/>
          <w:color w:val="0070C0"/>
          <w:sz w:val="24"/>
        </w:rPr>
        <w:t xml:space="preserve"> Şubat 2012’den bu yana Konya’da faaliyet gösteren 300 perakendeci ile her ay yüz yüze anketler yapılıyor.</w:t>
      </w:r>
    </w:p>
    <w:p w14:paraId="1F118624" w14:textId="721D8582" w:rsidR="00201819" w:rsidRDefault="00D7402B" w:rsidP="002B6805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Aralık</w:t>
      </w:r>
      <w:r w:rsidR="00BE41EA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>ayında TEPE</w:t>
      </w:r>
      <w:r w:rsidR="0031488B" w:rsidRPr="00732EE0">
        <w:rPr>
          <w:rFonts w:asciiTheme="minorHAnsi" w:hAnsiTheme="minorHAnsi" w:cs="Arial"/>
          <w:b w:val="0"/>
          <w:color w:val="0070C0"/>
          <w:sz w:val="24"/>
        </w:rPr>
        <w:t>,</w:t>
      </w:r>
      <w:r w:rsidR="002B6805">
        <w:rPr>
          <w:rFonts w:asciiTheme="minorHAnsi" w:hAnsiTheme="minorHAnsi" w:cs="Arial"/>
          <w:b w:val="0"/>
          <w:color w:val="0070C0"/>
          <w:sz w:val="24"/>
        </w:rPr>
        <w:t xml:space="preserve"> -8,6</w:t>
      </w:r>
      <w:r w:rsidR="00FA0611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değerini alırken KOPE </w:t>
      </w:r>
      <w:r w:rsidR="002B6805">
        <w:rPr>
          <w:rFonts w:asciiTheme="minorHAnsi" w:hAnsiTheme="minorHAnsi" w:cs="Arial"/>
          <w:b w:val="0"/>
          <w:color w:val="0070C0"/>
          <w:sz w:val="24"/>
        </w:rPr>
        <w:t>-12</w:t>
      </w:r>
      <w:r w:rsidR="0022569D">
        <w:rPr>
          <w:rFonts w:asciiTheme="minorHAnsi" w:hAnsiTheme="minorHAnsi" w:cs="Arial"/>
          <w:b w:val="0"/>
          <w:color w:val="0070C0"/>
          <w:sz w:val="24"/>
        </w:rPr>
        <w:t>,8</w:t>
      </w:r>
      <w:r w:rsid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A3226" w:rsidRPr="00732EE0">
        <w:rPr>
          <w:rFonts w:asciiTheme="minorHAnsi" w:hAnsiTheme="minorHAnsi" w:cs="Arial"/>
          <w:b w:val="0"/>
          <w:color w:val="0070C0"/>
          <w:sz w:val="24"/>
        </w:rPr>
        <w:t>değerini aldı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. KOPE, geçen yılın aynı dönemine göre </w:t>
      </w:r>
      <w:r w:rsidR="002B6805">
        <w:rPr>
          <w:rFonts w:asciiTheme="minorHAnsi" w:hAnsiTheme="minorHAnsi" w:cs="Arial"/>
          <w:b w:val="0"/>
          <w:color w:val="0070C0"/>
          <w:sz w:val="24"/>
        </w:rPr>
        <w:t>17,7</w:t>
      </w:r>
      <w:r w:rsidR="002B43B6" w:rsidRPr="00732EE0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2B6805">
        <w:rPr>
          <w:rFonts w:asciiTheme="minorHAnsi" w:hAnsiTheme="minorHAnsi" w:cs="Arial"/>
          <w:b w:val="0"/>
          <w:color w:val="0070C0"/>
          <w:sz w:val="24"/>
        </w:rPr>
        <w:t xml:space="preserve"> azalırken</w:t>
      </w:r>
      <w:r w:rsidR="0003026D" w:rsidRPr="00732EE0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4627DD" w:rsidRPr="00732EE0">
        <w:rPr>
          <w:rFonts w:asciiTheme="minorHAnsi" w:hAnsiTheme="minorHAnsi" w:cs="Arial"/>
          <w:b w:val="0"/>
          <w:color w:val="0070C0"/>
          <w:sz w:val="24"/>
        </w:rPr>
        <w:t>TEPE</w:t>
      </w:r>
      <w:r w:rsidR="001967F2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B6805">
        <w:rPr>
          <w:rFonts w:asciiTheme="minorHAnsi" w:hAnsiTheme="minorHAnsi" w:cs="Arial"/>
          <w:b w:val="0"/>
          <w:color w:val="0070C0"/>
          <w:sz w:val="24"/>
        </w:rPr>
        <w:t>7,3</w:t>
      </w:r>
      <w:r w:rsidR="0003026D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2569D">
        <w:rPr>
          <w:rFonts w:asciiTheme="minorHAnsi" w:hAnsiTheme="minorHAnsi" w:cs="Arial"/>
          <w:b w:val="0"/>
          <w:color w:val="0070C0"/>
          <w:sz w:val="24"/>
        </w:rPr>
        <w:t>arttı</w:t>
      </w:r>
      <w:r w:rsidR="00B14C5D" w:rsidRPr="00732EE0">
        <w:rPr>
          <w:rFonts w:asciiTheme="minorHAnsi" w:hAnsiTheme="minorHAnsi" w:cs="Arial"/>
          <w:b w:val="0"/>
          <w:color w:val="0070C0"/>
          <w:sz w:val="24"/>
        </w:rPr>
        <w:t>. KOPE değeri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 bir önceki aya göre</w:t>
      </w:r>
      <w:r w:rsidR="00944640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B43B6" w:rsidRPr="00732EE0">
        <w:rPr>
          <w:rFonts w:asciiTheme="minorHAnsi" w:hAnsiTheme="minorHAnsi" w:cs="Arial"/>
          <w:b w:val="0"/>
          <w:color w:val="0070C0"/>
          <w:sz w:val="24"/>
        </w:rPr>
        <w:t>is</w:t>
      </w:r>
      <w:r w:rsidR="00DE1B8B" w:rsidRPr="00732EE0">
        <w:rPr>
          <w:rFonts w:asciiTheme="minorHAnsi" w:hAnsiTheme="minorHAnsi" w:cs="Arial"/>
          <w:b w:val="0"/>
          <w:color w:val="0070C0"/>
          <w:sz w:val="24"/>
        </w:rPr>
        <w:t xml:space="preserve">e </w:t>
      </w:r>
      <w:r w:rsidR="002B6805">
        <w:rPr>
          <w:rFonts w:asciiTheme="minorHAnsi" w:hAnsiTheme="minorHAnsi" w:cs="Arial"/>
          <w:b w:val="0"/>
          <w:color w:val="0070C0"/>
          <w:sz w:val="24"/>
        </w:rPr>
        <w:t>2,0 puan arttı</w:t>
      </w:r>
      <w:r w:rsidR="00201819" w:rsidRPr="00732EE0">
        <w:rPr>
          <w:rFonts w:asciiTheme="minorHAnsi" w:hAnsiTheme="minorHAnsi" w:cs="Arial"/>
          <w:b w:val="0"/>
          <w:color w:val="0070C0"/>
          <w:sz w:val="24"/>
        </w:rPr>
        <w:t xml:space="preserve">. Konya perakendesi, </w:t>
      </w:r>
      <w:r>
        <w:rPr>
          <w:rFonts w:asciiTheme="minorHAnsi" w:hAnsiTheme="minorHAnsi" w:cs="Arial"/>
          <w:b w:val="0"/>
          <w:color w:val="0070C0"/>
          <w:sz w:val="24"/>
        </w:rPr>
        <w:t>aralık</w:t>
      </w:r>
      <w:r w:rsidR="002A3226" w:rsidRPr="00732EE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44640" w:rsidRPr="00732EE0">
        <w:rPr>
          <w:rFonts w:asciiTheme="minorHAnsi" w:hAnsiTheme="minorHAnsi" w:cs="Arial"/>
          <w:b w:val="0"/>
          <w:color w:val="0070C0"/>
          <w:sz w:val="24"/>
        </w:rPr>
        <w:t>ayında</w:t>
      </w:r>
      <w:r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D72FED" w:rsidRPr="00732EE0">
        <w:rPr>
          <w:rFonts w:asciiTheme="minorHAnsi" w:hAnsiTheme="minorHAnsi" w:cs="Arial"/>
          <w:b w:val="0"/>
          <w:color w:val="0070C0"/>
          <w:sz w:val="24"/>
        </w:rPr>
        <w:t>Türkiye genelin</w:t>
      </w:r>
      <w:r w:rsidR="002B6805">
        <w:rPr>
          <w:rFonts w:asciiTheme="minorHAnsi" w:hAnsiTheme="minorHAnsi" w:cs="Arial"/>
          <w:b w:val="0"/>
          <w:color w:val="0070C0"/>
          <w:sz w:val="24"/>
        </w:rPr>
        <w:t>den daha kötü</w:t>
      </w:r>
      <w:r w:rsidR="004E6416" w:rsidRPr="00732EE0">
        <w:rPr>
          <w:rFonts w:asciiTheme="minorHAnsi" w:hAnsiTheme="minorHAnsi" w:cs="Arial"/>
          <w:b w:val="0"/>
          <w:color w:val="0070C0"/>
          <w:sz w:val="24"/>
        </w:rPr>
        <w:t xml:space="preserve"> performans sergiledi.</w:t>
      </w:r>
    </w:p>
    <w:p w14:paraId="7E53E1F9" w14:textId="31B8D718" w:rsidR="00732EE0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A926F0">
        <w:rPr>
          <w:rFonts w:asciiTheme="minorHAnsi" w:hAnsiTheme="minorHAnsi"/>
          <w:b/>
        </w:rPr>
        <w:t>Şekil-</w:t>
      </w:r>
      <w:r w:rsidR="00601707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KOPE, TEPE ile AB-28</w:t>
      </w:r>
      <w:r w:rsidRPr="00A926F0">
        <w:rPr>
          <w:rFonts w:asciiTheme="minorHAnsi" w:hAnsiTheme="minorHAnsi"/>
        </w:rPr>
        <w:t xml:space="preserve"> Perakende Endeksinin karşılaştırılması (</w:t>
      </w:r>
      <w:r w:rsidR="001446EA">
        <w:rPr>
          <w:rFonts w:asciiTheme="minorHAnsi" w:hAnsiTheme="minorHAnsi"/>
        </w:rPr>
        <w:t>Aralık</w:t>
      </w:r>
      <w:r w:rsidR="00017E87">
        <w:rPr>
          <w:rFonts w:asciiTheme="minorHAnsi" w:hAnsiTheme="minorHAnsi"/>
        </w:rPr>
        <w:t xml:space="preserve"> </w:t>
      </w:r>
      <w:r w:rsidR="00602EA5">
        <w:rPr>
          <w:rFonts w:asciiTheme="minorHAnsi" w:hAnsiTheme="minorHAnsi"/>
        </w:rPr>
        <w:t>2017</w:t>
      </w:r>
      <w:r w:rsidRPr="00A926F0">
        <w:rPr>
          <w:rFonts w:asciiTheme="minorHAnsi" w:hAnsiTheme="minorHAnsi"/>
        </w:rPr>
        <w:t xml:space="preserve"> </w:t>
      </w:r>
      <w:r w:rsidR="00017E87">
        <w:rPr>
          <w:rFonts w:asciiTheme="minorHAnsi" w:hAnsiTheme="minorHAnsi"/>
        </w:rPr>
        <w:t>–</w:t>
      </w:r>
      <w:r w:rsidRPr="00A926F0">
        <w:rPr>
          <w:rFonts w:asciiTheme="minorHAnsi" w:hAnsiTheme="minorHAnsi"/>
        </w:rPr>
        <w:t xml:space="preserve"> </w:t>
      </w:r>
      <w:r w:rsidR="001446EA">
        <w:rPr>
          <w:rFonts w:asciiTheme="minorHAnsi" w:hAnsiTheme="minorHAnsi"/>
        </w:rPr>
        <w:t>Aralık</w:t>
      </w:r>
      <w:r w:rsidR="00017E87">
        <w:rPr>
          <w:rFonts w:asciiTheme="minorHAnsi" w:hAnsiTheme="minorHAnsi"/>
        </w:rPr>
        <w:t xml:space="preserve"> </w:t>
      </w:r>
      <w:r w:rsidR="00602EA5">
        <w:rPr>
          <w:rFonts w:asciiTheme="minorHAnsi" w:hAnsiTheme="minorHAnsi"/>
        </w:rPr>
        <w:t>2018</w:t>
      </w:r>
      <w:r w:rsidRPr="00A926F0">
        <w:rPr>
          <w:rFonts w:asciiTheme="minorHAnsi" w:hAnsiTheme="minorHAnsi"/>
        </w:rPr>
        <w:t>)</w:t>
      </w:r>
    </w:p>
    <w:p w14:paraId="731117EC" w14:textId="0DC2E77A" w:rsidR="00674767" w:rsidRDefault="002B6805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0936FE67" wp14:editId="772CA343">
            <wp:extent cx="5759450" cy="2715624"/>
            <wp:effectExtent l="0" t="0" r="12700" b="2794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CFAC59" w14:textId="77777777" w:rsidR="00FE22B6" w:rsidRDefault="00FE22B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713B6A9" w14:textId="77777777" w:rsidR="008A2EB3" w:rsidRDefault="008A2EB3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5A5353A0" w14:textId="77777777" w:rsidR="00506F76" w:rsidRDefault="00506F7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9BBFFFC" w14:textId="285890F5" w:rsidR="00E33DFB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 w:cs="Arial"/>
          <w:b/>
          <w:szCs w:val="20"/>
        </w:rPr>
      </w:pPr>
      <w:r w:rsidRPr="004222D5">
        <w:rPr>
          <w:rFonts w:asciiTheme="minorHAnsi" w:hAnsiTheme="minorHAnsi"/>
          <w:b/>
        </w:rPr>
        <w:t>Tablo-</w:t>
      </w:r>
      <w:r w:rsidR="00601707">
        <w:rPr>
          <w:rFonts w:asciiTheme="minorHAnsi" w:hAnsiTheme="minorHAnsi"/>
          <w:b/>
        </w:rPr>
        <w:t>5</w:t>
      </w:r>
      <w:r w:rsidRPr="004222D5">
        <w:rPr>
          <w:rFonts w:asciiTheme="minorHAnsi" w:hAnsiTheme="minorHAnsi"/>
          <w:b/>
        </w:rPr>
        <w:t>.</w:t>
      </w:r>
      <w:r w:rsidRPr="004222D5">
        <w:rPr>
          <w:rFonts w:asciiTheme="minorHAnsi" w:hAnsiTheme="minorHAnsi"/>
        </w:rPr>
        <w:t xml:space="preserve"> Konya Perakende Güven Endeksi</w:t>
      </w:r>
      <w:r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E33DFB" w:rsidRPr="003127E7" w14:paraId="045A4DAB" w14:textId="77777777" w:rsidTr="00B6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C583EBD" w14:textId="77777777" w:rsidR="00E33DFB" w:rsidRPr="00847C02" w:rsidRDefault="00E33DF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706BAA7B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6D781802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333DF126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6A591259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7621CE79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09FAF89D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7C204DDD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7E580547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11CF6783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5CC2C3A9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36D917A4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416CC1F9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446149" w:rsidRPr="00660B7D" w14:paraId="5DBF3CBA" w14:textId="77777777" w:rsidTr="002C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1762554B" w14:textId="77285533" w:rsidR="00446149" w:rsidRPr="00847C02" w:rsidRDefault="00446149" w:rsidP="0022569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2016</w:t>
            </w:r>
          </w:p>
        </w:tc>
        <w:tc>
          <w:tcPr>
            <w:tcW w:w="741" w:type="dxa"/>
            <w:noWrap/>
            <w:vAlign w:val="bottom"/>
            <w:hideMark/>
          </w:tcPr>
          <w:p w14:paraId="326ECC41" w14:textId="47C31D8D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807" w:type="dxa"/>
            <w:noWrap/>
            <w:vAlign w:val="bottom"/>
            <w:hideMark/>
          </w:tcPr>
          <w:p w14:paraId="5F9EA151" w14:textId="082D5808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-1,5</w:t>
            </w:r>
          </w:p>
        </w:tc>
        <w:tc>
          <w:tcPr>
            <w:tcW w:w="708" w:type="dxa"/>
            <w:noWrap/>
            <w:vAlign w:val="bottom"/>
            <w:hideMark/>
          </w:tcPr>
          <w:p w14:paraId="639F9A1C" w14:textId="0F36EC3F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-3,3</w:t>
            </w:r>
          </w:p>
        </w:tc>
        <w:tc>
          <w:tcPr>
            <w:tcW w:w="808" w:type="dxa"/>
            <w:noWrap/>
            <w:vAlign w:val="bottom"/>
            <w:hideMark/>
          </w:tcPr>
          <w:p w14:paraId="7CE7FD68" w14:textId="50EF9DE4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-1,7</w:t>
            </w:r>
          </w:p>
        </w:tc>
        <w:tc>
          <w:tcPr>
            <w:tcW w:w="808" w:type="dxa"/>
            <w:noWrap/>
            <w:vAlign w:val="bottom"/>
            <w:hideMark/>
          </w:tcPr>
          <w:p w14:paraId="6AF18BCB" w14:textId="0E706D2E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-2,5</w:t>
            </w:r>
          </w:p>
        </w:tc>
        <w:tc>
          <w:tcPr>
            <w:tcW w:w="974" w:type="dxa"/>
            <w:noWrap/>
            <w:vAlign w:val="bottom"/>
            <w:hideMark/>
          </w:tcPr>
          <w:p w14:paraId="4F8CE541" w14:textId="05BCD661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-2,8</w:t>
            </w:r>
          </w:p>
        </w:tc>
        <w:tc>
          <w:tcPr>
            <w:tcW w:w="1063" w:type="dxa"/>
            <w:noWrap/>
            <w:vAlign w:val="bottom"/>
            <w:hideMark/>
          </w:tcPr>
          <w:p w14:paraId="6B43C7DA" w14:textId="11FB09E4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-1,9</w:t>
            </w:r>
          </w:p>
        </w:tc>
        <w:tc>
          <w:tcPr>
            <w:tcW w:w="1052" w:type="dxa"/>
            <w:noWrap/>
            <w:vAlign w:val="bottom"/>
            <w:hideMark/>
          </w:tcPr>
          <w:p w14:paraId="2256DCD9" w14:textId="1CEBC0D4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730" w:type="dxa"/>
            <w:noWrap/>
            <w:vAlign w:val="bottom"/>
            <w:hideMark/>
          </w:tcPr>
          <w:p w14:paraId="796344F9" w14:textId="155E720B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-0,9</w:t>
            </w:r>
          </w:p>
        </w:tc>
        <w:tc>
          <w:tcPr>
            <w:tcW w:w="730" w:type="dxa"/>
            <w:noWrap/>
            <w:vAlign w:val="bottom"/>
            <w:hideMark/>
          </w:tcPr>
          <w:p w14:paraId="705A03FB" w14:textId="228BCBB9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852" w:type="dxa"/>
            <w:noWrap/>
            <w:vAlign w:val="bottom"/>
            <w:hideMark/>
          </w:tcPr>
          <w:p w14:paraId="4857BA61" w14:textId="444E756D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-4,3</w:t>
            </w:r>
          </w:p>
        </w:tc>
        <w:tc>
          <w:tcPr>
            <w:tcW w:w="808" w:type="dxa"/>
            <w:noWrap/>
            <w:vAlign w:val="bottom"/>
            <w:hideMark/>
          </w:tcPr>
          <w:p w14:paraId="6896015D" w14:textId="20E93EAA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-6,3</w:t>
            </w:r>
          </w:p>
        </w:tc>
      </w:tr>
      <w:tr w:rsidR="00446149" w:rsidRPr="003127E7" w14:paraId="26625D98" w14:textId="77777777" w:rsidTr="002C33ED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0C8993A6" w14:textId="096E098A" w:rsidR="00446149" w:rsidRPr="00660B7D" w:rsidRDefault="00446149" w:rsidP="0022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  <w:hideMark/>
          </w:tcPr>
          <w:p w14:paraId="14F2063F" w14:textId="61B3BEAA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-8,6</w:t>
            </w:r>
          </w:p>
        </w:tc>
        <w:tc>
          <w:tcPr>
            <w:tcW w:w="807" w:type="dxa"/>
            <w:noWrap/>
            <w:vAlign w:val="bottom"/>
            <w:hideMark/>
          </w:tcPr>
          <w:p w14:paraId="23E6688B" w14:textId="54B6A985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-3,8</w:t>
            </w:r>
          </w:p>
        </w:tc>
        <w:tc>
          <w:tcPr>
            <w:tcW w:w="708" w:type="dxa"/>
            <w:noWrap/>
            <w:vAlign w:val="bottom"/>
            <w:hideMark/>
          </w:tcPr>
          <w:p w14:paraId="5945652D" w14:textId="4945846B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808" w:type="dxa"/>
            <w:noWrap/>
            <w:vAlign w:val="bottom"/>
            <w:hideMark/>
          </w:tcPr>
          <w:p w14:paraId="56475087" w14:textId="1451D4C2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-1,4</w:t>
            </w:r>
          </w:p>
        </w:tc>
        <w:tc>
          <w:tcPr>
            <w:tcW w:w="808" w:type="dxa"/>
            <w:noWrap/>
            <w:vAlign w:val="bottom"/>
            <w:hideMark/>
          </w:tcPr>
          <w:p w14:paraId="08E93B70" w14:textId="371D1EC7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974" w:type="dxa"/>
            <w:noWrap/>
            <w:vAlign w:val="bottom"/>
            <w:hideMark/>
          </w:tcPr>
          <w:p w14:paraId="7699FCD8" w14:textId="75877ABF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4,2</w:t>
            </w:r>
          </w:p>
        </w:tc>
        <w:tc>
          <w:tcPr>
            <w:tcW w:w="1063" w:type="dxa"/>
            <w:noWrap/>
            <w:vAlign w:val="bottom"/>
            <w:hideMark/>
          </w:tcPr>
          <w:p w14:paraId="0C85DD6A" w14:textId="76DA5BCB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-0,4</w:t>
            </w:r>
          </w:p>
        </w:tc>
        <w:tc>
          <w:tcPr>
            <w:tcW w:w="1052" w:type="dxa"/>
            <w:noWrap/>
            <w:vAlign w:val="bottom"/>
            <w:hideMark/>
          </w:tcPr>
          <w:p w14:paraId="068BD133" w14:textId="551B093C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730" w:type="dxa"/>
            <w:noWrap/>
            <w:vAlign w:val="bottom"/>
            <w:hideMark/>
          </w:tcPr>
          <w:p w14:paraId="3CE55304" w14:textId="32A05F90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7,6</w:t>
            </w:r>
          </w:p>
        </w:tc>
        <w:tc>
          <w:tcPr>
            <w:tcW w:w="730" w:type="dxa"/>
            <w:noWrap/>
            <w:vAlign w:val="bottom"/>
            <w:hideMark/>
          </w:tcPr>
          <w:p w14:paraId="44AE90DA" w14:textId="19F916B7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2,9</w:t>
            </w:r>
          </w:p>
        </w:tc>
        <w:tc>
          <w:tcPr>
            <w:tcW w:w="852" w:type="dxa"/>
            <w:noWrap/>
            <w:vAlign w:val="bottom"/>
            <w:hideMark/>
          </w:tcPr>
          <w:p w14:paraId="77F7D136" w14:textId="207FB991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5,7</w:t>
            </w:r>
          </w:p>
        </w:tc>
        <w:tc>
          <w:tcPr>
            <w:tcW w:w="808" w:type="dxa"/>
            <w:noWrap/>
            <w:vAlign w:val="bottom"/>
            <w:hideMark/>
          </w:tcPr>
          <w:p w14:paraId="7921F289" w14:textId="6CE21D04" w:rsidR="00446149" w:rsidRPr="00FC0CDD" w:rsidRDefault="00446149" w:rsidP="00FC0CD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4,9</w:t>
            </w:r>
          </w:p>
        </w:tc>
      </w:tr>
      <w:tr w:rsidR="00446149" w:rsidRPr="003127E7" w14:paraId="07E8FBFA" w14:textId="77777777" w:rsidTr="0039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26AD5262" w14:textId="0AFC3A2F" w:rsidR="00446149" w:rsidRPr="00660B7D" w:rsidRDefault="00446149" w:rsidP="0022569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623E3BFC" w14:textId="57C9BF9F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3,8</w:t>
            </w:r>
          </w:p>
        </w:tc>
        <w:tc>
          <w:tcPr>
            <w:tcW w:w="807" w:type="dxa"/>
            <w:noWrap/>
            <w:vAlign w:val="bottom"/>
          </w:tcPr>
          <w:p w14:paraId="08903035" w14:textId="4D34EB96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708" w:type="dxa"/>
            <w:noWrap/>
            <w:vAlign w:val="bottom"/>
          </w:tcPr>
          <w:p w14:paraId="1E9605D2" w14:textId="3AE59061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-1,5</w:t>
            </w:r>
          </w:p>
        </w:tc>
        <w:tc>
          <w:tcPr>
            <w:tcW w:w="808" w:type="dxa"/>
            <w:noWrap/>
            <w:vAlign w:val="bottom"/>
          </w:tcPr>
          <w:p w14:paraId="7C6A1557" w14:textId="2C7CC360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-4,3</w:t>
            </w:r>
          </w:p>
        </w:tc>
        <w:tc>
          <w:tcPr>
            <w:tcW w:w="808" w:type="dxa"/>
            <w:noWrap/>
            <w:vAlign w:val="bottom"/>
          </w:tcPr>
          <w:p w14:paraId="0CC19276" w14:textId="044BD764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974" w:type="dxa"/>
            <w:noWrap/>
            <w:vAlign w:val="bottom"/>
          </w:tcPr>
          <w:p w14:paraId="791C630C" w14:textId="57416995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1063" w:type="dxa"/>
            <w:noWrap/>
            <w:vAlign w:val="bottom"/>
          </w:tcPr>
          <w:p w14:paraId="5110CDAD" w14:textId="56DA9F7C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3,6</w:t>
            </w:r>
          </w:p>
        </w:tc>
        <w:tc>
          <w:tcPr>
            <w:tcW w:w="1052" w:type="dxa"/>
            <w:noWrap/>
            <w:vAlign w:val="bottom"/>
          </w:tcPr>
          <w:p w14:paraId="0CAF4BAE" w14:textId="5B115676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-1,3</w:t>
            </w:r>
          </w:p>
        </w:tc>
        <w:tc>
          <w:tcPr>
            <w:tcW w:w="730" w:type="dxa"/>
            <w:noWrap/>
            <w:vAlign w:val="bottom"/>
          </w:tcPr>
          <w:p w14:paraId="3BF6FFEB" w14:textId="773040E7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-4,6</w:t>
            </w:r>
          </w:p>
        </w:tc>
        <w:tc>
          <w:tcPr>
            <w:tcW w:w="730" w:type="dxa"/>
            <w:noWrap/>
            <w:vAlign w:val="bottom"/>
          </w:tcPr>
          <w:p w14:paraId="0DC4AC92" w14:textId="7EDD750F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-10,1</w:t>
            </w:r>
          </w:p>
        </w:tc>
        <w:tc>
          <w:tcPr>
            <w:tcW w:w="852" w:type="dxa"/>
            <w:noWrap/>
            <w:vAlign w:val="bottom"/>
          </w:tcPr>
          <w:p w14:paraId="4D1D1A7B" w14:textId="1A28EE62" w:rsidR="00446149" w:rsidRPr="00FC0CD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-14,9</w:t>
            </w:r>
          </w:p>
        </w:tc>
        <w:tc>
          <w:tcPr>
            <w:tcW w:w="808" w:type="dxa"/>
            <w:noWrap/>
            <w:vAlign w:val="bottom"/>
            <w:hideMark/>
          </w:tcPr>
          <w:p w14:paraId="708DB86C" w14:textId="5CAC9679" w:rsidR="00446149" w:rsidRPr="00660B7D" w:rsidRDefault="00446149" w:rsidP="00FC0CD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-12,8</w:t>
            </w:r>
          </w:p>
        </w:tc>
      </w:tr>
    </w:tbl>
    <w:p w14:paraId="6AC98A47" w14:textId="40863F2C" w:rsidR="00482EEC" w:rsidRDefault="00482EEC" w:rsidP="0097312E">
      <w:pPr>
        <w:jc w:val="center"/>
        <w:rPr>
          <w:rFonts w:asciiTheme="minorHAnsi" w:hAnsiTheme="minorHAnsi" w:cs="Arial"/>
          <w:b/>
          <w:sz w:val="18"/>
        </w:rPr>
      </w:pPr>
    </w:p>
    <w:p w14:paraId="65F83EE9" w14:textId="77777777" w:rsidR="00C30485" w:rsidRDefault="00C30485" w:rsidP="0097312E">
      <w:pPr>
        <w:jc w:val="center"/>
        <w:rPr>
          <w:rFonts w:asciiTheme="minorHAnsi" w:hAnsiTheme="minorHAnsi" w:cs="Arial"/>
          <w:b/>
          <w:sz w:val="18"/>
        </w:rPr>
      </w:pPr>
    </w:p>
    <w:p w14:paraId="7F925B30" w14:textId="77777777" w:rsidR="00C30485" w:rsidRDefault="00C30485" w:rsidP="0097312E">
      <w:pPr>
        <w:jc w:val="center"/>
        <w:rPr>
          <w:rFonts w:asciiTheme="minorHAnsi" w:hAnsiTheme="minorHAnsi" w:cs="Arial"/>
          <w:b/>
          <w:sz w:val="18"/>
        </w:rPr>
      </w:pPr>
    </w:p>
    <w:p w14:paraId="2CC14BE1" w14:textId="77777777" w:rsidR="00C30485" w:rsidRDefault="00C30485" w:rsidP="0097312E">
      <w:pPr>
        <w:jc w:val="center"/>
        <w:rPr>
          <w:rFonts w:asciiTheme="minorHAnsi" w:hAnsiTheme="minorHAnsi" w:cs="Arial"/>
          <w:b/>
          <w:sz w:val="18"/>
        </w:rPr>
      </w:pPr>
    </w:p>
    <w:sectPr w:rsidR="00C30485" w:rsidSect="00D840CF">
      <w:headerReference w:type="default" r:id="rId16"/>
      <w:footerReference w:type="default" r:id="rId17"/>
      <w:pgSz w:w="11906" w:h="16838"/>
      <w:pgMar w:top="1985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B51A" w14:textId="77777777" w:rsidR="0060630E" w:rsidRDefault="0060630E" w:rsidP="000A02C9">
      <w:pPr>
        <w:spacing w:after="0" w:line="240" w:lineRule="auto"/>
      </w:pPr>
      <w:r>
        <w:separator/>
      </w:r>
    </w:p>
  </w:endnote>
  <w:endnote w:type="continuationSeparator" w:id="0">
    <w:p w14:paraId="637F9E7D" w14:textId="77777777" w:rsidR="0060630E" w:rsidRDefault="0060630E" w:rsidP="000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92F6D" w14:textId="51C2533E" w:rsidR="005A06C0" w:rsidRPr="00562529" w:rsidRDefault="005A06C0" w:rsidP="00D840CF">
    <w:pPr>
      <w:pStyle w:val="Altbilgi"/>
      <w:jc w:val="right"/>
    </w:pPr>
    <w:r>
      <w:rPr>
        <w:rFonts w:asciiTheme="minorHAnsi" w:hAnsiTheme="minorHAnsi" w:cs="Arial"/>
        <w:b/>
        <w:color w:val="000066"/>
        <w:sz w:val="24"/>
        <w:szCs w:val="24"/>
      </w:rPr>
      <w:ptab w:relativeTo="margin" w:alignment="right" w:leader="none"/>
    </w:r>
    <w:r w:rsidRPr="00A4738A">
      <w:rPr>
        <w:rFonts w:asciiTheme="minorHAnsi" w:hAnsiTheme="minorHAnsi" w:cs="Arial"/>
        <w:b/>
        <w:color w:val="000066"/>
        <w:sz w:val="24"/>
        <w:szCs w:val="24"/>
      </w:rPr>
      <w:t>www.tepav.org.tr</w:t>
    </w:r>
    <w:r w:rsidRPr="00A4738A">
      <w:rPr>
        <w:rFonts w:asciiTheme="minorHAnsi" w:hAnsiTheme="minorHAnsi"/>
        <w:b/>
        <w:color w:val="000066"/>
        <w:sz w:val="32"/>
        <w:szCs w:val="32"/>
      </w:rPr>
      <w:t xml:space="preserve"> </w:t>
    </w:r>
    <w:sdt>
      <w:sdtPr>
        <w:rPr>
          <w:rFonts w:asciiTheme="minorHAnsi" w:hAnsiTheme="minorHAnsi" w:cs="Arial"/>
          <w:b/>
          <w:sz w:val="24"/>
          <w:szCs w:val="24"/>
        </w:rPr>
        <w:id w:val="394529"/>
        <w:docPartObj>
          <w:docPartGallery w:val="Page Numbers (Bottom of Page)"/>
          <w:docPartUnique/>
        </w:docPartObj>
      </w:sdtPr>
      <w:sdtEndPr/>
      <w:sdtContent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t xml:space="preserve"> |  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begin"/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instrText xml:space="preserve"> PAGE   \* MERGEFORMAT </w:instrTex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separate"/>
        </w:r>
        <w:r w:rsidR="00DD4293">
          <w:rPr>
            <w:rFonts w:asciiTheme="minorHAnsi" w:hAnsiTheme="minorHAnsi" w:cs="Arial"/>
            <w:b/>
            <w:noProof/>
            <w:color w:val="000066"/>
            <w:sz w:val="24"/>
            <w:szCs w:val="24"/>
          </w:rPr>
          <w:t>1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A7B8F" w14:textId="77777777" w:rsidR="0060630E" w:rsidRDefault="0060630E" w:rsidP="000A02C9">
      <w:pPr>
        <w:spacing w:after="0" w:line="240" w:lineRule="auto"/>
      </w:pPr>
      <w:r>
        <w:separator/>
      </w:r>
    </w:p>
  </w:footnote>
  <w:footnote w:type="continuationSeparator" w:id="0">
    <w:p w14:paraId="008611A0" w14:textId="77777777" w:rsidR="0060630E" w:rsidRDefault="0060630E" w:rsidP="000A02C9">
      <w:pPr>
        <w:spacing w:after="0" w:line="240" w:lineRule="auto"/>
      </w:pPr>
      <w:r>
        <w:continuationSeparator/>
      </w:r>
    </w:p>
  </w:footnote>
  <w:footnote w:id="1">
    <w:p w14:paraId="6C7E8619" w14:textId="343B1B6F" w:rsidR="005A06C0" w:rsidRDefault="005A06C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sz w:val="22"/>
        </w:rPr>
        <w:t>Bültendeki tablolar ve grafikler -aksi belirtilmediği- sürece mevsimsellikten arındırılmış serilere göre hazırlanmıştır.</w:t>
      </w:r>
    </w:p>
  </w:footnote>
  <w:footnote w:id="2">
    <w:p w14:paraId="521FDF56" w14:textId="77777777" w:rsidR="00132643" w:rsidRPr="00F31BC3" w:rsidRDefault="00132643" w:rsidP="00963B01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Style w:val="DipnotBavurusu"/>
          <w:rFonts w:asciiTheme="minorHAnsi" w:hAnsiTheme="minorHAnsi" w:cs="Arial"/>
          <w:b/>
          <w:sz w:val="24"/>
        </w:rPr>
        <w:footnoteRef/>
      </w:r>
      <w:r w:rsidRPr="00F31BC3">
        <w:rPr>
          <w:rFonts w:asciiTheme="minorHAnsi" w:hAnsiTheme="minorHAnsi" w:cs="Arial"/>
          <w:sz w:val="24"/>
        </w:rPr>
        <w:t xml:space="preserve"> </w:t>
      </w:r>
      <w:r w:rsidRPr="00F31BC3">
        <w:rPr>
          <w:rFonts w:asciiTheme="minorHAnsi" w:hAnsiTheme="minorHAnsi" w:cs="Arial"/>
          <w:szCs w:val="20"/>
        </w:rPr>
        <w:t>Stok düzeyinde pozitif değer stok düzeyinin normalin altında olduğunu ifade etmektedir.</w:t>
      </w:r>
    </w:p>
    <w:p w14:paraId="2BC7D450" w14:textId="77777777" w:rsidR="00132643" w:rsidRPr="007F57A7" w:rsidRDefault="00132643" w:rsidP="00231059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Fonts w:asciiTheme="minorHAnsi" w:hAnsiTheme="minorHAnsi" w:cs="Arial"/>
          <w:b/>
          <w:sz w:val="24"/>
        </w:rPr>
        <w:t xml:space="preserve">  </w:t>
      </w:r>
      <w:r w:rsidRPr="00F31BC3">
        <w:rPr>
          <w:rFonts w:asciiTheme="minorHAnsi" w:hAnsiTheme="minorHAnsi" w:cs="Arial"/>
          <w:szCs w:val="20"/>
        </w:rPr>
        <w:t>Tablo-</w:t>
      </w:r>
      <w:r>
        <w:rPr>
          <w:rFonts w:asciiTheme="minorHAnsi" w:hAnsiTheme="minorHAnsi" w:cs="Arial"/>
          <w:szCs w:val="20"/>
        </w:rPr>
        <w:t>4’de</w:t>
      </w:r>
      <w:r w:rsidRPr="00F31BC3">
        <w:rPr>
          <w:rFonts w:asciiTheme="minorHAnsi" w:hAnsiTheme="minorHAnsi" w:cs="Arial"/>
          <w:szCs w:val="20"/>
        </w:rPr>
        <w:t>ki (-) değerler negatif beklentilerin pozitif beklentilerden fazla olduğunu ifade etmektedir.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97CF" w14:textId="77777777" w:rsidR="005A06C0" w:rsidRDefault="005A06C0" w:rsidP="00482EE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23E5521F" wp14:editId="626E3EB1">
          <wp:simplePos x="0" y="0"/>
          <wp:positionH relativeFrom="margin">
            <wp:align>center</wp:align>
          </wp:positionH>
          <wp:positionV relativeFrom="paragraph">
            <wp:posOffset>-459740</wp:posOffset>
          </wp:positionV>
          <wp:extent cx="7181850" cy="1428750"/>
          <wp:effectExtent l="0" t="0" r="6350" b="0"/>
          <wp:wrapNone/>
          <wp:docPr id="5" name="Picture 3" descr="C:\Users\tepav32\Desktop\ar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pav32\Desktop\ark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89EEB" w14:textId="77777777" w:rsidR="005A06C0" w:rsidRDefault="005A06C0" w:rsidP="0084648C">
    <w:pPr>
      <w:pStyle w:val="stbilgi"/>
      <w:tabs>
        <w:tab w:val="clear" w:pos="4536"/>
        <w:tab w:val="clear" w:pos="9072"/>
        <w:tab w:val="left" w:pos="65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41"/>
    <w:multiLevelType w:val="hybridMultilevel"/>
    <w:tmpl w:val="109E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92C"/>
    <w:multiLevelType w:val="hybridMultilevel"/>
    <w:tmpl w:val="4C94213C"/>
    <w:lvl w:ilvl="0" w:tplc="6FDA752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EEC"/>
    <w:multiLevelType w:val="hybridMultilevel"/>
    <w:tmpl w:val="216C7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12E"/>
    <w:multiLevelType w:val="hybridMultilevel"/>
    <w:tmpl w:val="D654E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hesabı">
    <w15:presenceInfo w15:providerId="Windows Live" w15:userId="23b9440b12560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B"/>
    <w:rsid w:val="000004C7"/>
    <w:rsid w:val="000013F5"/>
    <w:rsid w:val="00002D15"/>
    <w:rsid w:val="00005802"/>
    <w:rsid w:val="0000585A"/>
    <w:rsid w:val="000058C2"/>
    <w:rsid w:val="0000598D"/>
    <w:rsid w:val="00005B42"/>
    <w:rsid w:val="00005CBA"/>
    <w:rsid w:val="00005E28"/>
    <w:rsid w:val="000061BF"/>
    <w:rsid w:val="0000643E"/>
    <w:rsid w:val="000064CE"/>
    <w:rsid w:val="0000663B"/>
    <w:rsid w:val="000109A9"/>
    <w:rsid w:val="00010A0F"/>
    <w:rsid w:val="00012345"/>
    <w:rsid w:val="00012F8C"/>
    <w:rsid w:val="000131FF"/>
    <w:rsid w:val="00013287"/>
    <w:rsid w:val="000147B1"/>
    <w:rsid w:val="00016584"/>
    <w:rsid w:val="00016A8A"/>
    <w:rsid w:val="00016DC8"/>
    <w:rsid w:val="000171BF"/>
    <w:rsid w:val="00017513"/>
    <w:rsid w:val="00017844"/>
    <w:rsid w:val="000178B0"/>
    <w:rsid w:val="00017E87"/>
    <w:rsid w:val="00017F0B"/>
    <w:rsid w:val="0002002B"/>
    <w:rsid w:val="000202A2"/>
    <w:rsid w:val="0002030C"/>
    <w:rsid w:val="00020AE4"/>
    <w:rsid w:val="000220B1"/>
    <w:rsid w:val="00022570"/>
    <w:rsid w:val="0002283B"/>
    <w:rsid w:val="00023FD2"/>
    <w:rsid w:val="000240C9"/>
    <w:rsid w:val="00024745"/>
    <w:rsid w:val="00026357"/>
    <w:rsid w:val="00027CCB"/>
    <w:rsid w:val="0003017D"/>
    <w:rsid w:val="0003026D"/>
    <w:rsid w:val="000306B6"/>
    <w:rsid w:val="000308D9"/>
    <w:rsid w:val="000308EE"/>
    <w:rsid w:val="00030AD0"/>
    <w:rsid w:val="00030C47"/>
    <w:rsid w:val="00030FEC"/>
    <w:rsid w:val="000313ED"/>
    <w:rsid w:val="000316B9"/>
    <w:rsid w:val="00031E91"/>
    <w:rsid w:val="0003238E"/>
    <w:rsid w:val="00033314"/>
    <w:rsid w:val="00034BF6"/>
    <w:rsid w:val="00034E10"/>
    <w:rsid w:val="00035EC9"/>
    <w:rsid w:val="00035FD3"/>
    <w:rsid w:val="0003612B"/>
    <w:rsid w:val="00037804"/>
    <w:rsid w:val="00037C13"/>
    <w:rsid w:val="0004046A"/>
    <w:rsid w:val="00040CA9"/>
    <w:rsid w:val="00041563"/>
    <w:rsid w:val="00041EE2"/>
    <w:rsid w:val="00045876"/>
    <w:rsid w:val="0004664C"/>
    <w:rsid w:val="0004754D"/>
    <w:rsid w:val="00050008"/>
    <w:rsid w:val="00050243"/>
    <w:rsid w:val="000509A8"/>
    <w:rsid w:val="00051D0F"/>
    <w:rsid w:val="00051F8C"/>
    <w:rsid w:val="00052CB6"/>
    <w:rsid w:val="00052F64"/>
    <w:rsid w:val="0005359D"/>
    <w:rsid w:val="0005489A"/>
    <w:rsid w:val="000549CC"/>
    <w:rsid w:val="000561FF"/>
    <w:rsid w:val="00056B21"/>
    <w:rsid w:val="0005752C"/>
    <w:rsid w:val="000577D0"/>
    <w:rsid w:val="00060CF6"/>
    <w:rsid w:val="000613F5"/>
    <w:rsid w:val="000619DF"/>
    <w:rsid w:val="00062231"/>
    <w:rsid w:val="0006224D"/>
    <w:rsid w:val="0006282E"/>
    <w:rsid w:val="000631F6"/>
    <w:rsid w:val="000634D2"/>
    <w:rsid w:val="00063596"/>
    <w:rsid w:val="000648F2"/>
    <w:rsid w:val="00064C22"/>
    <w:rsid w:val="00064F70"/>
    <w:rsid w:val="000651EC"/>
    <w:rsid w:val="00065C6C"/>
    <w:rsid w:val="00065EDB"/>
    <w:rsid w:val="00066751"/>
    <w:rsid w:val="0006681E"/>
    <w:rsid w:val="00066857"/>
    <w:rsid w:val="00066FF3"/>
    <w:rsid w:val="00067416"/>
    <w:rsid w:val="00067E50"/>
    <w:rsid w:val="0007132A"/>
    <w:rsid w:val="000728AC"/>
    <w:rsid w:val="00072A23"/>
    <w:rsid w:val="00072ADE"/>
    <w:rsid w:val="00072DB9"/>
    <w:rsid w:val="000748F2"/>
    <w:rsid w:val="00074D80"/>
    <w:rsid w:val="0007502C"/>
    <w:rsid w:val="000759D8"/>
    <w:rsid w:val="0007639A"/>
    <w:rsid w:val="000772DA"/>
    <w:rsid w:val="000801E1"/>
    <w:rsid w:val="0008034B"/>
    <w:rsid w:val="0008152E"/>
    <w:rsid w:val="00081A36"/>
    <w:rsid w:val="00082493"/>
    <w:rsid w:val="00082C2D"/>
    <w:rsid w:val="0008390B"/>
    <w:rsid w:val="000840BB"/>
    <w:rsid w:val="000847F7"/>
    <w:rsid w:val="000850F8"/>
    <w:rsid w:val="000873D6"/>
    <w:rsid w:val="00087941"/>
    <w:rsid w:val="00090EEA"/>
    <w:rsid w:val="00091946"/>
    <w:rsid w:val="00092979"/>
    <w:rsid w:val="000929A6"/>
    <w:rsid w:val="00092B89"/>
    <w:rsid w:val="00093018"/>
    <w:rsid w:val="00095380"/>
    <w:rsid w:val="0009609B"/>
    <w:rsid w:val="000962A6"/>
    <w:rsid w:val="00097430"/>
    <w:rsid w:val="000A0099"/>
    <w:rsid w:val="000A021C"/>
    <w:rsid w:val="000A02C9"/>
    <w:rsid w:val="000A06FD"/>
    <w:rsid w:val="000A1C92"/>
    <w:rsid w:val="000A2B1F"/>
    <w:rsid w:val="000A2F1E"/>
    <w:rsid w:val="000A3A97"/>
    <w:rsid w:val="000A3BC5"/>
    <w:rsid w:val="000A433E"/>
    <w:rsid w:val="000A4815"/>
    <w:rsid w:val="000A510D"/>
    <w:rsid w:val="000A6D12"/>
    <w:rsid w:val="000A79AD"/>
    <w:rsid w:val="000B0B21"/>
    <w:rsid w:val="000B1B20"/>
    <w:rsid w:val="000B2AEB"/>
    <w:rsid w:val="000B2E04"/>
    <w:rsid w:val="000B3B6E"/>
    <w:rsid w:val="000B3BAB"/>
    <w:rsid w:val="000B4827"/>
    <w:rsid w:val="000B4D53"/>
    <w:rsid w:val="000B5377"/>
    <w:rsid w:val="000B5B67"/>
    <w:rsid w:val="000B5FC2"/>
    <w:rsid w:val="000B62DE"/>
    <w:rsid w:val="000B66D8"/>
    <w:rsid w:val="000B69E3"/>
    <w:rsid w:val="000B74B7"/>
    <w:rsid w:val="000C1012"/>
    <w:rsid w:val="000C22E7"/>
    <w:rsid w:val="000C4F4C"/>
    <w:rsid w:val="000C511A"/>
    <w:rsid w:val="000C5312"/>
    <w:rsid w:val="000C6451"/>
    <w:rsid w:val="000C69BD"/>
    <w:rsid w:val="000C6E00"/>
    <w:rsid w:val="000C7712"/>
    <w:rsid w:val="000C7AC2"/>
    <w:rsid w:val="000D0ABF"/>
    <w:rsid w:val="000D0F52"/>
    <w:rsid w:val="000D33BB"/>
    <w:rsid w:val="000D437B"/>
    <w:rsid w:val="000D4387"/>
    <w:rsid w:val="000D541F"/>
    <w:rsid w:val="000D79EA"/>
    <w:rsid w:val="000E0B25"/>
    <w:rsid w:val="000E0BA5"/>
    <w:rsid w:val="000E1D51"/>
    <w:rsid w:val="000E1DCA"/>
    <w:rsid w:val="000E1ECA"/>
    <w:rsid w:val="000E3168"/>
    <w:rsid w:val="000E39FA"/>
    <w:rsid w:val="000E48D8"/>
    <w:rsid w:val="000E5E0A"/>
    <w:rsid w:val="000E6686"/>
    <w:rsid w:val="000E68CC"/>
    <w:rsid w:val="000E6BF4"/>
    <w:rsid w:val="000F3A60"/>
    <w:rsid w:val="000F3CF7"/>
    <w:rsid w:val="000F44BA"/>
    <w:rsid w:val="000F5817"/>
    <w:rsid w:val="000F5B9D"/>
    <w:rsid w:val="000F5C5E"/>
    <w:rsid w:val="000F630D"/>
    <w:rsid w:val="000F6F08"/>
    <w:rsid w:val="000F71F1"/>
    <w:rsid w:val="000F7D07"/>
    <w:rsid w:val="00102967"/>
    <w:rsid w:val="00102BE3"/>
    <w:rsid w:val="00103BD0"/>
    <w:rsid w:val="00104361"/>
    <w:rsid w:val="00104E70"/>
    <w:rsid w:val="00105A9E"/>
    <w:rsid w:val="00105CCA"/>
    <w:rsid w:val="00105EA8"/>
    <w:rsid w:val="0010665B"/>
    <w:rsid w:val="00106CDE"/>
    <w:rsid w:val="00107C4D"/>
    <w:rsid w:val="00110376"/>
    <w:rsid w:val="00110771"/>
    <w:rsid w:val="00110D51"/>
    <w:rsid w:val="001116DC"/>
    <w:rsid w:val="001126A0"/>
    <w:rsid w:val="00112FD1"/>
    <w:rsid w:val="00113093"/>
    <w:rsid w:val="001132AA"/>
    <w:rsid w:val="00114692"/>
    <w:rsid w:val="00115289"/>
    <w:rsid w:val="0011530F"/>
    <w:rsid w:val="001160D3"/>
    <w:rsid w:val="00116BCE"/>
    <w:rsid w:val="00117448"/>
    <w:rsid w:val="001177B4"/>
    <w:rsid w:val="0011780E"/>
    <w:rsid w:val="00117A75"/>
    <w:rsid w:val="00117C47"/>
    <w:rsid w:val="00120B3B"/>
    <w:rsid w:val="00120B3D"/>
    <w:rsid w:val="00123131"/>
    <w:rsid w:val="00123C5F"/>
    <w:rsid w:val="0012435E"/>
    <w:rsid w:val="0012451B"/>
    <w:rsid w:val="00124716"/>
    <w:rsid w:val="00124C33"/>
    <w:rsid w:val="00125224"/>
    <w:rsid w:val="001256F4"/>
    <w:rsid w:val="00125FC6"/>
    <w:rsid w:val="00126420"/>
    <w:rsid w:val="00126C27"/>
    <w:rsid w:val="00126F27"/>
    <w:rsid w:val="0013083A"/>
    <w:rsid w:val="00130CC1"/>
    <w:rsid w:val="001317C5"/>
    <w:rsid w:val="00132643"/>
    <w:rsid w:val="001326A7"/>
    <w:rsid w:val="00134330"/>
    <w:rsid w:val="001347DA"/>
    <w:rsid w:val="00134A31"/>
    <w:rsid w:val="00134EF9"/>
    <w:rsid w:val="00134F76"/>
    <w:rsid w:val="00134FCE"/>
    <w:rsid w:val="00135A73"/>
    <w:rsid w:val="001361A8"/>
    <w:rsid w:val="001363A1"/>
    <w:rsid w:val="0013782A"/>
    <w:rsid w:val="00137C30"/>
    <w:rsid w:val="0014067C"/>
    <w:rsid w:val="00140B9B"/>
    <w:rsid w:val="00140BC6"/>
    <w:rsid w:val="001414A0"/>
    <w:rsid w:val="00141A9F"/>
    <w:rsid w:val="0014216D"/>
    <w:rsid w:val="00142BAD"/>
    <w:rsid w:val="00142D4F"/>
    <w:rsid w:val="00143759"/>
    <w:rsid w:val="001446EA"/>
    <w:rsid w:val="00146A5A"/>
    <w:rsid w:val="00146FE9"/>
    <w:rsid w:val="00147145"/>
    <w:rsid w:val="00147667"/>
    <w:rsid w:val="001479D7"/>
    <w:rsid w:val="00147AFE"/>
    <w:rsid w:val="0015185F"/>
    <w:rsid w:val="00152187"/>
    <w:rsid w:val="001521E4"/>
    <w:rsid w:val="00152678"/>
    <w:rsid w:val="00153381"/>
    <w:rsid w:val="00153D86"/>
    <w:rsid w:val="001546C5"/>
    <w:rsid w:val="001546D4"/>
    <w:rsid w:val="00154727"/>
    <w:rsid w:val="00154B79"/>
    <w:rsid w:val="001574E6"/>
    <w:rsid w:val="001603A6"/>
    <w:rsid w:val="0016130B"/>
    <w:rsid w:val="00161846"/>
    <w:rsid w:val="00164B2A"/>
    <w:rsid w:val="00164EED"/>
    <w:rsid w:val="00165569"/>
    <w:rsid w:val="00166D2E"/>
    <w:rsid w:val="00167459"/>
    <w:rsid w:val="0016773F"/>
    <w:rsid w:val="00167F8B"/>
    <w:rsid w:val="00170A2F"/>
    <w:rsid w:val="00170AAE"/>
    <w:rsid w:val="00171000"/>
    <w:rsid w:val="00171283"/>
    <w:rsid w:val="00172AAB"/>
    <w:rsid w:val="001734FD"/>
    <w:rsid w:val="00174328"/>
    <w:rsid w:val="00175E1A"/>
    <w:rsid w:val="00176654"/>
    <w:rsid w:val="001766DE"/>
    <w:rsid w:val="00176C69"/>
    <w:rsid w:val="00177148"/>
    <w:rsid w:val="00177B78"/>
    <w:rsid w:val="00177D99"/>
    <w:rsid w:val="00177DB8"/>
    <w:rsid w:val="001813A3"/>
    <w:rsid w:val="00181768"/>
    <w:rsid w:val="00181AAA"/>
    <w:rsid w:val="001830E2"/>
    <w:rsid w:val="0018351E"/>
    <w:rsid w:val="0018411A"/>
    <w:rsid w:val="001848E9"/>
    <w:rsid w:val="001851A4"/>
    <w:rsid w:val="0018680A"/>
    <w:rsid w:val="00186F84"/>
    <w:rsid w:val="001875AA"/>
    <w:rsid w:val="0018764C"/>
    <w:rsid w:val="00191061"/>
    <w:rsid w:val="001927DD"/>
    <w:rsid w:val="001939A4"/>
    <w:rsid w:val="00193A10"/>
    <w:rsid w:val="00194790"/>
    <w:rsid w:val="001951E6"/>
    <w:rsid w:val="001953B8"/>
    <w:rsid w:val="00196463"/>
    <w:rsid w:val="001967F2"/>
    <w:rsid w:val="001970B1"/>
    <w:rsid w:val="00197B4F"/>
    <w:rsid w:val="001A0876"/>
    <w:rsid w:val="001A0A60"/>
    <w:rsid w:val="001A193B"/>
    <w:rsid w:val="001A26EA"/>
    <w:rsid w:val="001A3097"/>
    <w:rsid w:val="001A3A75"/>
    <w:rsid w:val="001A43CD"/>
    <w:rsid w:val="001A47E7"/>
    <w:rsid w:val="001A4BA1"/>
    <w:rsid w:val="001A5C53"/>
    <w:rsid w:val="001A7E50"/>
    <w:rsid w:val="001B1209"/>
    <w:rsid w:val="001B1CC0"/>
    <w:rsid w:val="001B1EE9"/>
    <w:rsid w:val="001B2115"/>
    <w:rsid w:val="001B4122"/>
    <w:rsid w:val="001B445F"/>
    <w:rsid w:val="001B46D5"/>
    <w:rsid w:val="001B4C12"/>
    <w:rsid w:val="001B4D5A"/>
    <w:rsid w:val="001B5ADA"/>
    <w:rsid w:val="001B7051"/>
    <w:rsid w:val="001C0281"/>
    <w:rsid w:val="001C030C"/>
    <w:rsid w:val="001C2326"/>
    <w:rsid w:val="001C2361"/>
    <w:rsid w:val="001C2AE1"/>
    <w:rsid w:val="001C2D0B"/>
    <w:rsid w:val="001C3A79"/>
    <w:rsid w:val="001C4684"/>
    <w:rsid w:val="001C4848"/>
    <w:rsid w:val="001C698A"/>
    <w:rsid w:val="001C7479"/>
    <w:rsid w:val="001C77BD"/>
    <w:rsid w:val="001D0130"/>
    <w:rsid w:val="001D04CD"/>
    <w:rsid w:val="001D1FD4"/>
    <w:rsid w:val="001D3D96"/>
    <w:rsid w:val="001D4DD2"/>
    <w:rsid w:val="001D4DED"/>
    <w:rsid w:val="001D59D4"/>
    <w:rsid w:val="001D5A84"/>
    <w:rsid w:val="001D776D"/>
    <w:rsid w:val="001D7CC4"/>
    <w:rsid w:val="001E17E9"/>
    <w:rsid w:val="001E24E6"/>
    <w:rsid w:val="001E56AC"/>
    <w:rsid w:val="001E59BC"/>
    <w:rsid w:val="001E5BF1"/>
    <w:rsid w:val="001E607B"/>
    <w:rsid w:val="001E6221"/>
    <w:rsid w:val="001E627C"/>
    <w:rsid w:val="001E6E24"/>
    <w:rsid w:val="001E709C"/>
    <w:rsid w:val="001E7286"/>
    <w:rsid w:val="001E7334"/>
    <w:rsid w:val="001E741B"/>
    <w:rsid w:val="001E770C"/>
    <w:rsid w:val="001F107A"/>
    <w:rsid w:val="001F13A5"/>
    <w:rsid w:val="001F1918"/>
    <w:rsid w:val="001F196E"/>
    <w:rsid w:val="001F3372"/>
    <w:rsid w:val="001F3600"/>
    <w:rsid w:val="001F41B6"/>
    <w:rsid w:val="001F591C"/>
    <w:rsid w:val="001F65B2"/>
    <w:rsid w:val="002001EC"/>
    <w:rsid w:val="00200B3A"/>
    <w:rsid w:val="00201513"/>
    <w:rsid w:val="00201724"/>
    <w:rsid w:val="00201819"/>
    <w:rsid w:val="002027BB"/>
    <w:rsid w:val="00202874"/>
    <w:rsid w:val="0020296A"/>
    <w:rsid w:val="002043CB"/>
    <w:rsid w:val="00204A20"/>
    <w:rsid w:val="00204E32"/>
    <w:rsid w:val="002056BA"/>
    <w:rsid w:val="002057B1"/>
    <w:rsid w:val="0020663A"/>
    <w:rsid w:val="00207130"/>
    <w:rsid w:val="00207BDC"/>
    <w:rsid w:val="00207C4F"/>
    <w:rsid w:val="00207CA8"/>
    <w:rsid w:val="00210B35"/>
    <w:rsid w:val="00211964"/>
    <w:rsid w:val="00211B6B"/>
    <w:rsid w:val="0021265A"/>
    <w:rsid w:val="00212B12"/>
    <w:rsid w:val="00212F65"/>
    <w:rsid w:val="00212FC2"/>
    <w:rsid w:val="0021322A"/>
    <w:rsid w:val="00213556"/>
    <w:rsid w:val="0021378A"/>
    <w:rsid w:val="00214096"/>
    <w:rsid w:val="002142F7"/>
    <w:rsid w:val="002158D0"/>
    <w:rsid w:val="00215CCC"/>
    <w:rsid w:val="0021636C"/>
    <w:rsid w:val="002210A9"/>
    <w:rsid w:val="00222895"/>
    <w:rsid w:val="00223E63"/>
    <w:rsid w:val="00223EB3"/>
    <w:rsid w:val="0022475C"/>
    <w:rsid w:val="00224D22"/>
    <w:rsid w:val="00225287"/>
    <w:rsid w:val="002254D4"/>
    <w:rsid w:val="0022569D"/>
    <w:rsid w:val="00225BDA"/>
    <w:rsid w:val="00226318"/>
    <w:rsid w:val="00231059"/>
    <w:rsid w:val="00231A02"/>
    <w:rsid w:val="00233284"/>
    <w:rsid w:val="00233479"/>
    <w:rsid w:val="00233B3A"/>
    <w:rsid w:val="002342B0"/>
    <w:rsid w:val="00235CAA"/>
    <w:rsid w:val="00235E80"/>
    <w:rsid w:val="00236B87"/>
    <w:rsid w:val="00236D8E"/>
    <w:rsid w:val="002375CF"/>
    <w:rsid w:val="002378AE"/>
    <w:rsid w:val="00240B8C"/>
    <w:rsid w:val="00242EBF"/>
    <w:rsid w:val="00243394"/>
    <w:rsid w:val="00243F1E"/>
    <w:rsid w:val="00244325"/>
    <w:rsid w:val="0024595F"/>
    <w:rsid w:val="0024692F"/>
    <w:rsid w:val="002477FC"/>
    <w:rsid w:val="002502B6"/>
    <w:rsid w:val="00250893"/>
    <w:rsid w:val="00250A3C"/>
    <w:rsid w:val="002516DF"/>
    <w:rsid w:val="00253A28"/>
    <w:rsid w:val="00254707"/>
    <w:rsid w:val="00254BD8"/>
    <w:rsid w:val="00254CE8"/>
    <w:rsid w:val="00255556"/>
    <w:rsid w:val="00255F5E"/>
    <w:rsid w:val="0025774F"/>
    <w:rsid w:val="002607BF"/>
    <w:rsid w:val="00261230"/>
    <w:rsid w:val="00262DF2"/>
    <w:rsid w:val="0026352A"/>
    <w:rsid w:val="00263C67"/>
    <w:rsid w:val="00264F77"/>
    <w:rsid w:val="00265B7C"/>
    <w:rsid w:val="00265EF7"/>
    <w:rsid w:val="0026656F"/>
    <w:rsid w:val="0026669D"/>
    <w:rsid w:val="002701B4"/>
    <w:rsid w:val="00270427"/>
    <w:rsid w:val="00270F74"/>
    <w:rsid w:val="002723BD"/>
    <w:rsid w:val="00272760"/>
    <w:rsid w:val="0027361E"/>
    <w:rsid w:val="00274133"/>
    <w:rsid w:val="002764AC"/>
    <w:rsid w:val="002774E4"/>
    <w:rsid w:val="00277A08"/>
    <w:rsid w:val="00277DF3"/>
    <w:rsid w:val="00277E64"/>
    <w:rsid w:val="00280493"/>
    <w:rsid w:val="00280C6E"/>
    <w:rsid w:val="00280F34"/>
    <w:rsid w:val="00281013"/>
    <w:rsid w:val="002821A3"/>
    <w:rsid w:val="00282589"/>
    <w:rsid w:val="00282938"/>
    <w:rsid w:val="002836D4"/>
    <w:rsid w:val="00283CA7"/>
    <w:rsid w:val="002842EC"/>
    <w:rsid w:val="00284A5B"/>
    <w:rsid w:val="00285787"/>
    <w:rsid w:val="00285F05"/>
    <w:rsid w:val="0028649B"/>
    <w:rsid w:val="00286659"/>
    <w:rsid w:val="002869BD"/>
    <w:rsid w:val="002875CD"/>
    <w:rsid w:val="002901A8"/>
    <w:rsid w:val="00290295"/>
    <w:rsid w:val="0029085B"/>
    <w:rsid w:val="00290FB9"/>
    <w:rsid w:val="00291468"/>
    <w:rsid w:val="002917B6"/>
    <w:rsid w:val="002946A7"/>
    <w:rsid w:val="002947B9"/>
    <w:rsid w:val="00295554"/>
    <w:rsid w:val="0029621F"/>
    <w:rsid w:val="00297DE5"/>
    <w:rsid w:val="002A018C"/>
    <w:rsid w:val="002A04C6"/>
    <w:rsid w:val="002A1060"/>
    <w:rsid w:val="002A1A66"/>
    <w:rsid w:val="002A1BCB"/>
    <w:rsid w:val="002A1F57"/>
    <w:rsid w:val="002A20DF"/>
    <w:rsid w:val="002A2C79"/>
    <w:rsid w:val="002A3226"/>
    <w:rsid w:val="002A4177"/>
    <w:rsid w:val="002A4C5E"/>
    <w:rsid w:val="002A54D0"/>
    <w:rsid w:val="002A6100"/>
    <w:rsid w:val="002A64FE"/>
    <w:rsid w:val="002A6B98"/>
    <w:rsid w:val="002A718B"/>
    <w:rsid w:val="002A7314"/>
    <w:rsid w:val="002A779F"/>
    <w:rsid w:val="002B0831"/>
    <w:rsid w:val="002B0A96"/>
    <w:rsid w:val="002B0BB5"/>
    <w:rsid w:val="002B0F70"/>
    <w:rsid w:val="002B169D"/>
    <w:rsid w:val="002B1ADD"/>
    <w:rsid w:val="002B4007"/>
    <w:rsid w:val="002B43B6"/>
    <w:rsid w:val="002B53E4"/>
    <w:rsid w:val="002B6343"/>
    <w:rsid w:val="002B6382"/>
    <w:rsid w:val="002B6805"/>
    <w:rsid w:val="002C027E"/>
    <w:rsid w:val="002C0D43"/>
    <w:rsid w:val="002C326B"/>
    <w:rsid w:val="002C33ED"/>
    <w:rsid w:val="002C418D"/>
    <w:rsid w:val="002C67B8"/>
    <w:rsid w:val="002C729E"/>
    <w:rsid w:val="002C77FF"/>
    <w:rsid w:val="002C78C2"/>
    <w:rsid w:val="002C78DE"/>
    <w:rsid w:val="002D01CD"/>
    <w:rsid w:val="002D0D50"/>
    <w:rsid w:val="002D1437"/>
    <w:rsid w:val="002D1E9B"/>
    <w:rsid w:val="002D2C00"/>
    <w:rsid w:val="002D3950"/>
    <w:rsid w:val="002D4B19"/>
    <w:rsid w:val="002D6B1F"/>
    <w:rsid w:val="002D6B37"/>
    <w:rsid w:val="002D766C"/>
    <w:rsid w:val="002D7AAC"/>
    <w:rsid w:val="002E1224"/>
    <w:rsid w:val="002E1488"/>
    <w:rsid w:val="002E3070"/>
    <w:rsid w:val="002E3F85"/>
    <w:rsid w:val="002E4B41"/>
    <w:rsid w:val="002E5859"/>
    <w:rsid w:val="002E6E30"/>
    <w:rsid w:val="002E7381"/>
    <w:rsid w:val="002F0937"/>
    <w:rsid w:val="002F13D2"/>
    <w:rsid w:val="002F2312"/>
    <w:rsid w:val="002F25FD"/>
    <w:rsid w:val="002F3C34"/>
    <w:rsid w:val="002F3D33"/>
    <w:rsid w:val="002F4354"/>
    <w:rsid w:val="002F485E"/>
    <w:rsid w:val="002F4A9F"/>
    <w:rsid w:val="002F4F75"/>
    <w:rsid w:val="002F56FE"/>
    <w:rsid w:val="002F622E"/>
    <w:rsid w:val="002F6681"/>
    <w:rsid w:val="002F6B25"/>
    <w:rsid w:val="002F7D3B"/>
    <w:rsid w:val="002F7FBC"/>
    <w:rsid w:val="00300863"/>
    <w:rsid w:val="00300B2C"/>
    <w:rsid w:val="003017D7"/>
    <w:rsid w:val="003026B7"/>
    <w:rsid w:val="003029CC"/>
    <w:rsid w:val="003034FD"/>
    <w:rsid w:val="00303F79"/>
    <w:rsid w:val="00304BE6"/>
    <w:rsid w:val="00304DDA"/>
    <w:rsid w:val="00305747"/>
    <w:rsid w:val="00310692"/>
    <w:rsid w:val="00311289"/>
    <w:rsid w:val="00311BB1"/>
    <w:rsid w:val="00311C63"/>
    <w:rsid w:val="00311D81"/>
    <w:rsid w:val="00311D92"/>
    <w:rsid w:val="003120ED"/>
    <w:rsid w:val="003127E7"/>
    <w:rsid w:val="00312803"/>
    <w:rsid w:val="00312A5F"/>
    <w:rsid w:val="003131D4"/>
    <w:rsid w:val="00313B90"/>
    <w:rsid w:val="00314634"/>
    <w:rsid w:val="0031488B"/>
    <w:rsid w:val="00315398"/>
    <w:rsid w:val="00315FDE"/>
    <w:rsid w:val="0032093D"/>
    <w:rsid w:val="00320BF5"/>
    <w:rsid w:val="0032193D"/>
    <w:rsid w:val="00321950"/>
    <w:rsid w:val="0032367E"/>
    <w:rsid w:val="00323CD1"/>
    <w:rsid w:val="00323D1D"/>
    <w:rsid w:val="003243F6"/>
    <w:rsid w:val="00324AEF"/>
    <w:rsid w:val="00324DDC"/>
    <w:rsid w:val="00326820"/>
    <w:rsid w:val="00327443"/>
    <w:rsid w:val="003275E3"/>
    <w:rsid w:val="00327820"/>
    <w:rsid w:val="00327C19"/>
    <w:rsid w:val="00330E61"/>
    <w:rsid w:val="00331DF5"/>
    <w:rsid w:val="00332E3C"/>
    <w:rsid w:val="003342DB"/>
    <w:rsid w:val="00336578"/>
    <w:rsid w:val="00337686"/>
    <w:rsid w:val="00340046"/>
    <w:rsid w:val="00340B7B"/>
    <w:rsid w:val="00340DE6"/>
    <w:rsid w:val="00340EE9"/>
    <w:rsid w:val="00341B5C"/>
    <w:rsid w:val="00341C73"/>
    <w:rsid w:val="003423F7"/>
    <w:rsid w:val="00343C80"/>
    <w:rsid w:val="00343FEB"/>
    <w:rsid w:val="003456A2"/>
    <w:rsid w:val="00346335"/>
    <w:rsid w:val="00346833"/>
    <w:rsid w:val="00346A3D"/>
    <w:rsid w:val="0034736F"/>
    <w:rsid w:val="00347734"/>
    <w:rsid w:val="003507A7"/>
    <w:rsid w:val="003509FC"/>
    <w:rsid w:val="0035106A"/>
    <w:rsid w:val="00351B96"/>
    <w:rsid w:val="003524F5"/>
    <w:rsid w:val="0035260C"/>
    <w:rsid w:val="00352907"/>
    <w:rsid w:val="00352C62"/>
    <w:rsid w:val="00352DDF"/>
    <w:rsid w:val="00353021"/>
    <w:rsid w:val="0035547C"/>
    <w:rsid w:val="00355591"/>
    <w:rsid w:val="00356970"/>
    <w:rsid w:val="00357A0B"/>
    <w:rsid w:val="00357E1F"/>
    <w:rsid w:val="00357EFF"/>
    <w:rsid w:val="00360451"/>
    <w:rsid w:val="00360556"/>
    <w:rsid w:val="00360B47"/>
    <w:rsid w:val="003610AE"/>
    <w:rsid w:val="00361E76"/>
    <w:rsid w:val="003628CF"/>
    <w:rsid w:val="003630D5"/>
    <w:rsid w:val="003647EE"/>
    <w:rsid w:val="00365127"/>
    <w:rsid w:val="0036594D"/>
    <w:rsid w:val="00367F72"/>
    <w:rsid w:val="003709AA"/>
    <w:rsid w:val="003722B3"/>
    <w:rsid w:val="00373D99"/>
    <w:rsid w:val="00373E9C"/>
    <w:rsid w:val="00374207"/>
    <w:rsid w:val="003745E9"/>
    <w:rsid w:val="0037590E"/>
    <w:rsid w:val="0037626A"/>
    <w:rsid w:val="00380173"/>
    <w:rsid w:val="00381D5D"/>
    <w:rsid w:val="00382D64"/>
    <w:rsid w:val="00383196"/>
    <w:rsid w:val="00383A0A"/>
    <w:rsid w:val="00383AC3"/>
    <w:rsid w:val="00383B69"/>
    <w:rsid w:val="003848FB"/>
    <w:rsid w:val="00385217"/>
    <w:rsid w:val="0038573A"/>
    <w:rsid w:val="003867E2"/>
    <w:rsid w:val="00390541"/>
    <w:rsid w:val="00391333"/>
    <w:rsid w:val="003917D1"/>
    <w:rsid w:val="00391A8E"/>
    <w:rsid w:val="00391CDB"/>
    <w:rsid w:val="00392137"/>
    <w:rsid w:val="003922B1"/>
    <w:rsid w:val="00392FC6"/>
    <w:rsid w:val="00393325"/>
    <w:rsid w:val="00393CF8"/>
    <w:rsid w:val="00394213"/>
    <w:rsid w:val="00394C94"/>
    <w:rsid w:val="00394E39"/>
    <w:rsid w:val="00394F03"/>
    <w:rsid w:val="0039546D"/>
    <w:rsid w:val="003957D2"/>
    <w:rsid w:val="003973C9"/>
    <w:rsid w:val="00397FB0"/>
    <w:rsid w:val="003A0E9C"/>
    <w:rsid w:val="003A1365"/>
    <w:rsid w:val="003A1AB2"/>
    <w:rsid w:val="003A27D5"/>
    <w:rsid w:val="003A2915"/>
    <w:rsid w:val="003A2C3B"/>
    <w:rsid w:val="003A2FF3"/>
    <w:rsid w:val="003A347F"/>
    <w:rsid w:val="003A4442"/>
    <w:rsid w:val="003A7725"/>
    <w:rsid w:val="003B0887"/>
    <w:rsid w:val="003B0F9F"/>
    <w:rsid w:val="003B2A41"/>
    <w:rsid w:val="003B2B9E"/>
    <w:rsid w:val="003B35FD"/>
    <w:rsid w:val="003B44EF"/>
    <w:rsid w:val="003B50DD"/>
    <w:rsid w:val="003B53B2"/>
    <w:rsid w:val="003B5500"/>
    <w:rsid w:val="003B5535"/>
    <w:rsid w:val="003B57C9"/>
    <w:rsid w:val="003B657C"/>
    <w:rsid w:val="003B6F0B"/>
    <w:rsid w:val="003B6FC8"/>
    <w:rsid w:val="003B786C"/>
    <w:rsid w:val="003C1DFD"/>
    <w:rsid w:val="003C40BC"/>
    <w:rsid w:val="003C43CA"/>
    <w:rsid w:val="003C47FF"/>
    <w:rsid w:val="003C6DD5"/>
    <w:rsid w:val="003C6F05"/>
    <w:rsid w:val="003C6F95"/>
    <w:rsid w:val="003C74A1"/>
    <w:rsid w:val="003C7F5C"/>
    <w:rsid w:val="003D06D6"/>
    <w:rsid w:val="003D0F12"/>
    <w:rsid w:val="003D1020"/>
    <w:rsid w:val="003D2358"/>
    <w:rsid w:val="003D2739"/>
    <w:rsid w:val="003D2B4F"/>
    <w:rsid w:val="003D5102"/>
    <w:rsid w:val="003D6E15"/>
    <w:rsid w:val="003D7767"/>
    <w:rsid w:val="003E0619"/>
    <w:rsid w:val="003E0C5C"/>
    <w:rsid w:val="003E185F"/>
    <w:rsid w:val="003E1F4D"/>
    <w:rsid w:val="003E2795"/>
    <w:rsid w:val="003E2E4F"/>
    <w:rsid w:val="003E42E8"/>
    <w:rsid w:val="003E5DCE"/>
    <w:rsid w:val="003F1935"/>
    <w:rsid w:val="003F1B13"/>
    <w:rsid w:val="003F2B09"/>
    <w:rsid w:val="003F30E8"/>
    <w:rsid w:val="003F3D70"/>
    <w:rsid w:val="003F475D"/>
    <w:rsid w:val="003F4C8B"/>
    <w:rsid w:val="003F5305"/>
    <w:rsid w:val="003F680E"/>
    <w:rsid w:val="003F72E6"/>
    <w:rsid w:val="003F734B"/>
    <w:rsid w:val="00401248"/>
    <w:rsid w:val="00401404"/>
    <w:rsid w:val="00401DF7"/>
    <w:rsid w:val="00401EEB"/>
    <w:rsid w:val="0040215A"/>
    <w:rsid w:val="00402DDA"/>
    <w:rsid w:val="00403468"/>
    <w:rsid w:val="00403A83"/>
    <w:rsid w:val="00404346"/>
    <w:rsid w:val="0040475D"/>
    <w:rsid w:val="004050FD"/>
    <w:rsid w:val="004054CB"/>
    <w:rsid w:val="004055CD"/>
    <w:rsid w:val="00405993"/>
    <w:rsid w:val="004061F4"/>
    <w:rsid w:val="00406C01"/>
    <w:rsid w:val="004071D9"/>
    <w:rsid w:val="00410F93"/>
    <w:rsid w:val="00411A52"/>
    <w:rsid w:val="00412160"/>
    <w:rsid w:val="00412822"/>
    <w:rsid w:val="004146A2"/>
    <w:rsid w:val="004153FB"/>
    <w:rsid w:val="00415D07"/>
    <w:rsid w:val="00416714"/>
    <w:rsid w:val="0041696A"/>
    <w:rsid w:val="00417300"/>
    <w:rsid w:val="00417976"/>
    <w:rsid w:val="00420055"/>
    <w:rsid w:val="00420A6A"/>
    <w:rsid w:val="0042116D"/>
    <w:rsid w:val="00421579"/>
    <w:rsid w:val="004222D5"/>
    <w:rsid w:val="00422E2A"/>
    <w:rsid w:val="00422ED8"/>
    <w:rsid w:val="00423801"/>
    <w:rsid w:val="00423C71"/>
    <w:rsid w:val="00423DC0"/>
    <w:rsid w:val="004244FD"/>
    <w:rsid w:val="00424CDA"/>
    <w:rsid w:val="00426D8C"/>
    <w:rsid w:val="00427719"/>
    <w:rsid w:val="00427826"/>
    <w:rsid w:val="004279CD"/>
    <w:rsid w:val="00427A26"/>
    <w:rsid w:val="00427CD7"/>
    <w:rsid w:val="00431953"/>
    <w:rsid w:val="0043217E"/>
    <w:rsid w:val="00432651"/>
    <w:rsid w:val="00432B28"/>
    <w:rsid w:val="00432CA2"/>
    <w:rsid w:val="0043314B"/>
    <w:rsid w:val="00433A4C"/>
    <w:rsid w:val="00434C7F"/>
    <w:rsid w:val="00436251"/>
    <w:rsid w:val="00436AA2"/>
    <w:rsid w:val="00436DBD"/>
    <w:rsid w:val="004370D4"/>
    <w:rsid w:val="00437362"/>
    <w:rsid w:val="004410FD"/>
    <w:rsid w:val="004420FC"/>
    <w:rsid w:val="0044225D"/>
    <w:rsid w:val="00442AE4"/>
    <w:rsid w:val="004433D8"/>
    <w:rsid w:val="00443FE3"/>
    <w:rsid w:val="00444031"/>
    <w:rsid w:val="00444836"/>
    <w:rsid w:val="00446149"/>
    <w:rsid w:val="004468CE"/>
    <w:rsid w:val="00446BA9"/>
    <w:rsid w:val="00446E2C"/>
    <w:rsid w:val="00450639"/>
    <w:rsid w:val="00450C66"/>
    <w:rsid w:val="00450E2F"/>
    <w:rsid w:val="004510BE"/>
    <w:rsid w:val="00451173"/>
    <w:rsid w:val="004515AE"/>
    <w:rsid w:val="00451FA5"/>
    <w:rsid w:val="0045273B"/>
    <w:rsid w:val="00456465"/>
    <w:rsid w:val="00456C3A"/>
    <w:rsid w:val="00457618"/>
    <w:rsid w:val="004600F3"/>
    <w:rsid w:val="004627DD"/>
    <w:rsid w:val="00462D42"/>
    <w:rsid w:val="00462FFA"/>
    <w:rsid w:val="004633FF"/>
    <w:rsid w:val="00464E0F"/>
    <w:rsid w:val="004658B9"/>
    <w:rsid w:val="00466586"/>
    <w:rsid w:val="00467E99"/>
    <w:rsid w:val="00467EFD"/>
    <w:rsid w:val="004704ED"/>
    <w:rsid w:val="00470685"/>
    <w:rsid w:val="004710B3"/>
    <w:rsid w:val="00471833"/>
    <w:rsid w:val="00471D33"/>
    <w:rsid w:val="00472336"/>
    <w:rsid w:val="0047262C"/>
    <w:rsid w:val="00473C76"/>
    <w:rsid w:val="004772E7"/>
    <w:rsid w:val="00477447"/>
    <w:rsid w:val="004776EE"/>
    <w:rsid w:val="00477A2B"/>
    <w:rsid w:val="0048179B"/>
    <w:rsid w:val="00481C27"/>
    <w:rsid w:val="00482EEC"/>
    <w:rsid w:val="00482F60"/>
    <w:rsid w:val="0048421A"/>
    <w:rsid w:val="00484389"/>
    <w:rsid w:val="0048474B"/>
    <w:rsid w:val="00484C92"/>
    <w:rsid w:val="00484F69"/>
    <w:rsid w:val="00485507"/>
    <w:rsid w:val="00485858"/>
    <w:rsid w:val="00485EDE"/>
    <w:rsid w:val="00485F3D"/>
    <w:rsid w:val="00485F71"/>
    <w:rsid w:val="00485FC8"/>
    <w:rsid w:val="00486DA6"/>
    <w:rsid w:val="0048717B"/>
    <w:rsid w:val="00491CA1"/>
    <w:rsid w:val="00492B1F"/>
    <w:rsid w:val="00492D40"/>
    <w:rsid w:val="00493690"/>
    <w:rsid w:val="00493711"/>
    <w:rsid w:val="00493EBC"/>
    <w:rsid w:val="00493F70"/>
    <w:rsid w:val="00494587"/>
    <w:rsid w:val="004946CD"/>
    <w:rsid w:val="00494B32"/>
    <w:rsid w:val="004965F8"/>
    <w:rsid w:val="0049678B"/>
    <w:rsid w:val="00497010"/>
    <w:rsid w:val="0049719F"/>
    <w:rsid w:val="00497C9F"/>
    <w:rsid w:val="004A02C2"/>
    <w:rsid w:val="004A073A"/>
    <w:rsid w:val="004A087B"/>
    <w:rsid w:val="004A098C"/>
    <w:rsid w:val="004A15CD"/>
    <w:rsid w:val="004A19EF"/>
    <w:rsid w:val="004A1E33"/>
    <w:rsid w:val="004A305D"/>
    <w:rsid w:val="004A42A9"/>
    <w:rsid w:val="004A443A"/>
    <w:rsid w:val="004A57F1"/>
    <w:rsid w:val="004A595F"/>
    <w:rsid w:val="004A6723"/>
    <w:rsid w:val="004A6FDD"/>
    <w:rsid w:val="004A72C2"/>
    <w:rsid w:val="004B161D"/>
    <w:rsid w:val="004B1E22"/>
    <w:rsid w:val="004B2D78"/>
    <w:rsid w:val="004B36D0"/>
    <w:rsid w:val="004B4167"/>
    <w:rsid w:val="004B422F"/>
    <w:rsid w:val="004B440A"/>
    <w:rsid w:val="004B4AC7"/>
    <w:rsid w:val="004B4B07"/>
    <w:rsid w:val="004B4C95"/>
    <w:rsid w:val="004B6344"/>
    <w:rsid w:val="004B74F3"/>
    <w:rsid w:val="004B7D0E"/>
    <w:rsid w:val="004C0C26"/>
    <w:rsid w:val="004C13A5"/>
    <w:rsid w:val="004C13F5"/>
    <w:rsid w:val="004C2044"/>
    <w:rsid w:val="004C2118"/>
    <w:rsid w:val="004C2B80"/>
    <w:rsid w:val="004C34D1"/>
    <w:rsid w:val="004C5521"/>
    <w:rsid w:val="004C63E6"/>
    <w:rsid w:val="004C6468"/>
    <w:rsid w:val="004C75D2"/>
    <w:rsid w:val="004D0EA5"/>
    <w:rsid w:val="004D1447"/>
    <w:rsid w:val="004D1626"/>
    <w:rsid w:val="004D1D32"/>
    <w:rsid w:val="004D3003"/>
    <w:rsid w:val="004D3B98"/>
    <w:rsid w:val="004D42C0"/>
    <w:rsid w:val="004D452E"/>
    <w:rsid w:val="004D46EF"/>
    <w:rsid w:val="004D49BF"/>
    <w:rsid w:val="004D554A"/>
    <w:rsid w:val="004D590F"/>
    <w:rsid w:val="004D5CAB"/>
    <w:rsid w:val="004D6CC8"/>
    <w:rsid w:val="004D71FF"/>
    <w:rsid w:val="004D7257"/>
    <w:rsid w:val="004E10CE"/>
    <w:rsid w:val="004E116A"/>
    <w:rsid w:val="004E22D7"/>
    <w:rsid w:val="004E2CB9"/>
    <w:rsid w:val="004E2DE7"/>
    <w:rsid w:val="004E4165"/>
    <w:rsid w:val="004E4410"/>
    <w:rsid w:val="004E5244"/>
    <w:rsid w:val="004E532B"/>
    <w:rsid w:val="004E5B6A"/>
    <w:rsid w:val="004E5E15"/>
    <w:rsid w:val="004E6416"/>
    <w:rsid w:val="004E6DD3"/>
    <w:rsid w:val="004E7C3B"/>
    <w:rsid w:val="004E7CF9"/>
    <w:rsid w:val="004F1978"/>
    <w:rsid w:val="004F26D8"/>
    <w:rsid w:val="004F2AD0"/>
    <w:rsid w:val="004F311F"/>
    <w:rsid w:val="004F3664"/>
    <w:rsid w:val="004F39C6"/>
    <w:rsid w:val="004F52B6"/>
    <w:rsid w:val="004F7113"/>
    <w:rsid w:val="004F750E"/>
    <w:rsid w:val="004F7EBC"/>
    <w:rsid w:val="00500244"/>
    <w:rsid w:val="00500643"/>
    <w:rsid w:val="00503F90"/>
    <w:rsid w:val="005053A3"/>
    <w:rsid w:val="005056DC"/>
    <w:rsid w:val="00506535"/>
    <w:rsid w:val="00506F76"/>
    <w:rsid w:val="00512810"/>
    <w:rsid w:val="00512B45"/>
    <w:rsid w:val="00512D47"/>
    <w:rsid w:val="00514F5C"/>
    <w:rsid w:val="00516540"/>
    <w:rsid w:val="00516726"/>
    <w:rsid w:val="0051681F"/>
    <w:rsid w:val="00516B28"/>
    <w:rsid w:val="005170B2"/>
    <w:rsid w:val="005178A2"/>
    <w:rsid w:val="00520C33"/>
    <w:rsid w:val="00522FC7"/>
    <w:rsid w:val="005232E2"/>
    <w:rsid w:val="00523EF0"/>
    <w:rsid w:val="005254DB"/>
    <w:rsid w:val="00525605"/>
    <w:rsid w:val="00525AF2"/>
    <w:rsid w:val="00525AFA"/>
    <w:rsid w:val="00525E9A"/>
    <w:rsid w:val="00526F43"/>
    <w:rsid w:val="00527807"/>
    <w:rsid w:val="00527AEF"/>
    <w:rsid w:val="00527EDC"/>
    <w:rsid w:val="00530297"/>
    <w:rsid w:val="00530578"/>
    <w:rsid w:val="00530BB3"/>
    <w:rsid w:val="00530CDA"/>
    <w:rsid w:val="00531176"/>
    <w:rsid w:val="005313D0"/>
    <w:rsid w:val="005326F8"/>
    <w:rsid w:val="005329D0"/>
    <w:rsid w:val="005330A3"/>
    <w:rsid w:val="0053438F"/>
    <w:rsid w:val="0053517C"/>
    <w:rsid w:val="00535292"/>
    <w:rsid w:val="0053537B"/>
    <w:rsid w:val="00535859"/>
    <w:rsid w:val="00535C20"/>
    <w:rsid w:val="00535D1C"/>
    <w:rsid w:val="005375F3"/>
    <w:rsid w:val="00540096"/>
    <w:rsid w:val="005408CA"/>
    <w:rsid w:val="005410D7"/>
    <w:rsid w:val="00541B2B"/>
    <w:rsid w:val="00541EC9"/>
    <w:rsid w:val="00541F25"/>
    <w:rsid w:val="005420A6"/>
    <w:rsid w:val="00542423"/>
    <w:rsid w:val="0054256D"/>
    <w:rsid w:val="005430E8"/>
    <w:rsid w:val="00543819"/>
    <w:rsid w:val="00545A2C"/>
    <w:rsid w:val="00547868"/>
    <w:rsid w:val="00547ADE"/>
    <w:rsid w:val="00550025"/>
    <w:rsid w:val="00550528"/>
    <w:rsid w:val="00552888"/>
    <w:rsid w:val="005530DB"/>
    <w:rsid w:val="005531E3"/>
    <w:rsid w:val="00553758"/>
    <w:rsid w:val="00553766"/>
    <w:rsid w:val="00553960"/>
    <w:rsid w:val="00553968"/>
    <w:rsid w:val="00555B59"/>
    <w:rsid w:val="00555FB4"/>
    <w:rsid w:val="005568D4"/>
    <w:rsid w:val="00556C72"/>
    <w:rsid w:val="005577E2"/>
    <w:rsid w:val="00557A7B"/>
    <w:rsid w:val="00557F4B"/>
    <w:rsid w:val="00560903"/>
    <w:rsid w:val="00560EEF"/>
    <w:rsid w:val="00561092"/>
    <w:rsid w:val="00561652"/>
    <w:rsid w:val="00561915"/>
    <w:rsid w:val="00561C69"/>
    <w:rsid w:val="00562529"/>
    <w:rsid w:val="005626CA"/>
    <w:rsid w:val="00562914"/>
    <w:rsid w:val="00562F1F"/>
    <w:rsid w:val="00563959"/>
    <w:rsid w:val="00564710"/>
    <w:rsid w:val="005648C9"/>
    <w:rsid w:val="00564C39"/>
    <w:rsid w:val="0056501E"/>
    <w:rsid w:val="00566369"/>
    <w:rsid w:val="005667C6"/>
    <w:rsid w:val="005669EB"/>
    <w:rsid w:val="00566C25"/>
    <w:rsid w:val="00567113"/>
    <w:rsid w:val="00571CFF"/>
    <w:rsid w:val="00572092"/>
    <w:rsid w:val="005721B3"/>
    <w:rsid w:val="005725FA"/>
    <w:rsid w:val="005732B0"/>
    <w:rsid w:val="00573591"/>
    <w:rsid w:val="00573E71"/>
    <w:rsid w:val="00575DA9"/>
    <w:rsid w:val="005766A0"/>
    <w:rsid w:val="00576B03"/>
    <w:rsid w:val="00577603"/>
    <w:rsid w:val="00577E45"/>
    <w:rsid w:val="00577E96"/>
    <w:rsid w:val="00581D8F"/>
    <w:rsid w:val="005824BC"/>
    <w:rsid w:val="00582DCC"/>
    <w:rsid w:val="0058352D"/>
    <w:rsid w:val="0058384E"/>
    <w:rsid w:val="00583AF6"/>
    <w:rsid w:val="00583CDA"/>
    <w:rsid w:val="00583E6C"/>
    <w:rsid w:val="00584EFF"/>
    <w:rsid w:val="0058613D"/>
    <w:rsid w:val="00586B77"/>
    <w:rsid w:val="005875F0"/>
    <w:rsid w:val="00590013"/>
    <w:rsid w:val="005910C1"/>
    <w:rsid w:val="00591867"/>
    <w:rsid w:val="0059196E"/>
    <w:rsid w:val="005938F3"/>
    <w:rsid w:val="00594EFD"/>
    <w:rsid w:val="005951F7"/>
    <w:rsid w:val="00596785"/>
    <w:rsid w:val="00597049"/>
    <w:rsid w:val="005973CD"/>
    <w:rsid w:val="0059791D"/>
    <w:rsid w:val="005A0164"/>
    <w:rsid w:val="005A06C0"/>
    <w:rsid w:val="005A0763"/>
    <w:rsid w:val="005A09FE"/>
    <w:rsid w:val="005A0CA8"/>
    <w:rsid w:val="005A0D0C"/>
    <w:rsid w:val="005A158F"/>
    <w:rsid w:val="005A17CF"/>
    <w:rsid w:val="005A2235"/>
    <w:rsid w:val="005A2302"/>
    <w:rsid w:val="005A240A"/>
    <w:rsid w:val="005A432C"/>
    <w:rsid w:val="005A44BD"/>
    <w:rsid w:val="005A555C"/>
    <w:rsid w:val="005A5A7D"/>
    <w:rsid w:val="005A5E22"/>
    <w:rsid w:val="005A6663"/>
    <w:rsid w:val="005A7048"/>
    <w:rsid w:val="005A7678"/>
    <w:rsid w:val="005B0021"/>
    <w:rsid w:val="005B0614"/>
    <w:rsid w:val="005B116F"/>
    <w:rsid w:val="005B11FF"/>
    <w:rsid w:val="005B2A84"/>
    <w:rsid w:val="005B326E"/>
    <w:rsid w:val="005B363B"/>
    <w:rsid w:val="005B42CA"/>
    <w:rsid w:val="005B45E9"/>
    <w:rsid w:val="005B5168"/>
    <w:rsid w:val="005B5539"/>
    <w:rsid w:val="005B5974"/>
    <w:rsid w:val="005B6263"/>
    <w:rsid w:val="005B74DD"/>
    <w:rsid w:val="005C02D0"/>
    <w:rsid w:val="005C0434"/>
    <w:rsid w:val="005C0ED1"/>
    <w:rsid w:val="005C1733"/>
    <w:rsid w:val="005C2088"/>
    <w:rsid w:val="005C2319"/>
    <w:rsid w:val="005C255D"/>
    <w:rsid w:val="005C25FA"/>
    <w:rsid w:val="005C2917"/>
    <w:rsid w:val="005C4C24"/>
    <w:rsid w:val="005C4FF2"/>
    <w:rsid w:val="005C5217"/>
    <w:rsid w:val="005C5397"/>
    <w:rsid w:val="005C5579"/>
    <w:rsid w:val="005C5D99"/>
    <w:rsid w:val="005C73A1"/>
    <w:rsid w:val="005C7E7A"/>
    <w:rsid w:val="005D13A7"/>
    <w:rsid w:val="005D20C0"/>
    <w:rsid w:val="005D2186"/>
    <w:rsid w:val="005D2E36"/>
    <w:rsid w:val="005D3802"/>
    <w:rsid w:val="005D5E1D"/>
    <w:rsid w:val="005D7063"/>
    <w:rsid w:val="005D7A2E"/>
    <w:rsid w:val="005E0B04"/>
    <w:rsid w:val="005E22C5"/>
    <w:rsid w:val="005E23C8"/>
    <w:rsid w:val="005E2920"/>
    <w:rsid w:val="005E2BE2"/>
    <w:rsid w:val="005E2EDD"/>
    <w:rsid w:val="005E3CFF"/>
    <w:rsid w:val="005E4503"/>
    <w:rsid w:val="005E4851"/>
    <w:rsid w:val="005E679F"/>
    <w:rsid w:val="005E6AB4"/>
    <w:rsid w:val="005E7143"/>
    <w:rsid w:val="005E7EB1"/>
    <w:rsid w:val="005E7F92"/>
    <w:rsid w:val="005F04A6"/>
    <w:rsid w:val="005F0611"/>
    <w:rsid w:val="005F0955"/>
    <w:rsid w:val="005F1127"/>
    <w:rsid w:val="005F122D"/>
    <w:rsid w:val="005F28DD"/>
    <w:rsid w:val="005F2DE5"/>
    <w:rsid w:val="005F2F0D"/>
    <w:rsid w:val="005F31AB"/>
    <w:rsid w:val="005F3C73"/>
    <w:rsid w:val="005F3CC4"/>
    <w:rsid w:val="005F402E"/>
    <w:rsid w:val="005F4FAE"/>
    <w:rsid w:val="005F58DB"/>
    <w:rsid w:val="005F6061"/>
    <w:rsid w:val="005F6331"/>
    <w:rsid w:val="005F69C2"/>
    <w:rsid w:val="005F70F4"/>
    <w:rsid w:val="005F7C08"/>
    <w:rsid w:val="00601012"/>
    <w:rsid w:val="00601707"/>
    <w:rsid w:val="006018C9"/>
    <w:rsid w:val="00602BB5"/>
    <w:rsid w:val="00602EA5"/>
    <w:rsid w:val="0060396D"/>
    <w:rsid w:val="006045EF"/>
    <w:rsid w:val="0060630E"/>
    <w:rsid w:val="00606310"/>
    <w:rsid w:val="0060699B"/>
    <w:rsid w:val="00606E0B"/>
    <w:rsid w:val="00607188"/>
    <w:rsid w:val="00607FDA"/>
    <w:rsid w:val="006102F8"/>
    <w:rsid w:val="00612561"/>
    <w:rsid w:val="00612F0D"/>
    <w:rsid w:val="00612FAC"/>
    <w:rsid w:val="006133C1"/>
    <w:rsid w:val="006142C9"/>
    <w:rsid w:val="0061501D"/>
    <w:rsid w:val="00615074"/>
    <w:rsid w:val="00615848"/>
    <w:rsid w:val="0061653B"/>
    <w:rsid w:val="006170A3"/>
    <w:rsid w:val="006173E4"/>
    <w:rsid w:val="00617D87"/>
    <w:rsid w:val="006208D3"/>
    <w:rsid w:val="00620DB2"/>
    <w:rsid w:val="006215AF"/>
    <w:rsid w:val="00622319"/>
    <w:rsid w:val="0062275B"/>
    <w:rsid w:val="00622CD8"/>
    <w:rsid w:val="0062387E"/>
    <w:rsid w:val="00624BDE"/>
    <w:rsid w:val="0062742B"/>
    <w:rsid w:val="006275E2"/>
    <w:rsid w:val="00630C05"/>
    <w:rsid w:val="006315DD"/>
    <w:rsid w:val="00631CA4"/>
    <w:rsid w:val="006324C2"/>
    <w:rsid w:val="00632534"/>
    <w:rsid w:val="00632F57"/>
    <w:rsid w:val="00632FE9"/>
    <w:rsid w:val="00633178"/>
    <w:rsid w:val="0063412E"/>
    <w:rsid w:val="006341B4"/>
    <w:rsid w:val="00634829"/>
    <w:rsid w:val="006349A6"/>
    <w:rsid w:val="00634F97"/>
    <w:rsid w:val="00635A2B"/>
    <w:rsid w:val="00636326"/>
    <w:rsid w:val="00636966"/>
    <w:rsid w:val="0063751A"/>
    <w:rsid w:val="0063799A"/>
    <w:rsid w:val="00637C25"/>
    <w:rsid w:val="0064258B"/>
    <w:rsid w:val="00642705"/>
    <w:rsid w:val="00642CFA"/>
    <w:rsid w:val="006448B4"/>
    <w:rsid w:val="00646AF7"/>
    <w:rsid w:val="006476D6"/>
    <w:rsid w:val="00647B72"/>
    <w:rsid w:val="006500CA"/>
    <w:rsid w:val="00650AEF"/>
    <w:rsid w:val="006537AA"/>
    <w:rsid w:val="00653FA2"/>
    <w:rsid w:val="006548E9"/>
    <w:rsid w:val="00654C3E"/>
    <w:rsid w:val="006551B0"/>
    <w:rsid w:val="00655AF5"/>
    <w:rsid w:val="006575E6"/>
    <w:rsid w:val="00657A25"/>
    <w:rsid w:val="0066022F"/>
    <w:rsid w:val="00660537"/>
    <w:rsid w:val="00660B7D"/>
    <w:rsid w:val="00660D41"/>
    <w:rsid w:val="00662173"/>
    <w:rsid w:val="0066253C"/>
    <w:rsid w:val="00662C79"/>
    <w:rsid w:val="00662EBC"/>
    <w:rsid w:val="0066495A"/>
    <w:rsid w:val="00664977"/>
    <w:rsid w:val="00665009"/>
    <w:rsid w:val="00665135"/>
    <w:rsid w:val="00665FAC"/>
    <w:rsid w:val="006677CC"/>
    <w:rsid w:val="0067021B"/>
    <w:rsid w:val="00670462"/>
    <w:rsid w:val="006733CF"/>
    <w:rsid w:val="00674194"/>
    <w:rsid w:val="006741F7"/>
    <w:rsid w:val="006743CA"/>
    <w:rsid w:val="00674508"/>
    <w:rsid w:val="00674767"/>
    <w:rsid w:val="00674804"/>
    <w:rsid w:val="0067621D"/>
    <w:rsid w:val="0067690C"/>
    <w:rsid w:val="00677069"/>
    <w:rsid w:val="00677F6C"/>
    <w:rsid w:val="006802C1"/>
    <w:rsid w:val="006815E9"/>
    <w:rsid w:val="00681DA6"/>
    <w:rsid w:val="00682B02"/>
    <w:rsid w:val="00683574"/>
    <w:rsid w:val="00683891"/>
    <w:rsid w:val="006846F9"/>
    <w:rsid w:val="00685CD9"/>
    <w:rsid w:val="00687617"/>
    <w:rsid w:val="0068767D"/>
    <w:rsid w:val="00687D78"/>
    <w:rsid w:val="00687D8C"/>
    <w:rsid w:val="0069063D"/>
    <w:rsid w:val="00691154"/>
    <w:rsid w:val="006914D3"/>
    <w:rsid w:val="00691A40"/>
    <w:rsid w:val="00692662"/>
    <w:rsid w:val="006942CC"/>
    <w:rsid w:val="006943C3"/>
    <w:rsid w:val="00694987"/>
    <w:rsid w:val="006953DD"/>
    <w:rsid w:val="00697039"/>
    <w:rsid w:val="006972BA"/>
    <w:rsid w:val="006976F3"/>
    <w:rsid w:val="006A044B"/>
    <w:rsid w:val="006A10D2"/>
    <w:rsid w:val="006A1B2C"/>
    <w:rsid w:val="006A1E78"/>
    <w:rsid w:val="006A1F65"/>
    <w:rsid w:val="006A24C9"/>
    <w:rsid w:val="006A2575"/>
    <w:rsid w:val="006A2A79"/>
    <w:rsid w:val="006A35F9"/>
    <w:rsid w:val="006A3748"/>
    <w:rsid w:val="006A3E83"/>
    <w:rsid w:val="006A4437"/>
    <w:rsid w:val="006A46CB"/>
    <w:rsid w:val="006A4CD8"/>
    <w:rsid w:val="006A5251"/>
    <w:rsid w:val="006A5FDC"/>
    <w:rsid w:val="006A69B1"/>
    <w:rsid w:val="006A6E04"/>
    <w:rsid w:val="006A72C8"/>
    <w:rsid w:val="006A747E"/>
    <w:rsid w:val="006B01FF"/>
    <w:rsid w:val="006B03D8"/>
    <w:rsid w:val="006B06BB"/>
    <w:rsid w:val="006B186C"/>
    <w:rsid w:val="006B1A5F"/>
    <w:rsid w:val="006B1C00"/>
    <w:rsid w:val="006B2A02"/>
    <w:rsid w:val="006B2C8B"/>
    <w:rsid w:val="006B2F67"/>
    <w:rsid w:val="006B2F6E"/>
    <w:rsid w:val="006B357F"/>
    <w:rsid w:val="006B43E1"/>
    <w:rsid w:val="006B4855"/>
    <w:rsid w:val="006B51F2"/>
    <w:rsid w:val="006B560B"/>
    <w:rsid w:val="006B5A6C"/>
    <w:rsid w:val="006B5C1B"/>
    <w:rsid w:val="006B5FE7"/>
    <w:rsid w:val="006B6C94"/>
    <w:rsid w:val="006B7145"/>
    <w:rsid w:val="006B7D7A"/>
    <w:rsid w:val="006C0429"/>
    <w:rsid w:val="006C22C1"/>
    <w:rsid w:val="006C2539"/>
    <w:rsid w:val="006C2893"/>
    <w:rsid w:val="006C2A39"/>
    <w:rsid w:val="006C2FD5"/>
    <w:rsid w:val="006C3501"/>
    <w:rsid w:val="006C3C5E"/>
    <w:rsid w:val="006C4F59"/>
    <w:rsid w:val="006C5BA6"/>
    <w:rsid w:val="006C5C53"/>
    <w:rsid w:val="006C6342"/>
    <w:rsid w:val="006C7711"/>
    <w:rsid w:val="006D18EF"/>
    <w:rsid w:val="006D272D"/>
    <w:rsid w:val="006D33A4"/>
    <w:rsid w:val="006D4CD1"/>
    <w:rsid w:val="006D5538"/>
    <w:rsid w:val="006D5623"/>
    <w:rsid w:val="006D5CF7"/>
    <w:rsid w:val="006D5D5B"/>
    <w:rsid w:val="006D6256"/>
    <w:rsid w:val="006D700D"/>
    <w:rsid w:val="006D796D"/>
    <w:rsid w:val="006E0CF2"/>
    <w:rsid w:val="006E1689"/>
    <w:rsid w:val="006E294A"/>
    <w:rsid w:val="006E2B25"/>
    <w:rsid w:val="006E3A85"/>
    <w:rsid w:val="006E4043"/>
    <w:rsid w:val="006E434A"/>
    <w:rsid w:val="006E48DC"/>
    <w:rsid w:val="006E4B30"/>
    <w:rsid w:val="006E6BD6"/>
    <w:rsid w:val="006E6C79"/>
    <w:rsid w:val="006F1FC5"/>
    <w:rsid w:val="006F2113"/>
    <w:rsid w:val="006F24B7"/>
    <w:rsid w:val="006F2F08"/>
    <w:rsid w:val="006F3211"/>
    <w:rsid w:val="006F3C34"/>
    <w:rsid w:val="006F4783"/>
    <w:rsid w:val="006F54E8"/>
    <w:rsid w:val="006F57DE"/>
    <w:rsid w:val="006F5FED"/>
    <w:rsid w:val="006F71AD"/>
    <w:rsid w:val="006F7870"/>
    <w:rsid w:val="006F7F7D"/>
    <w:rsid w:val="007069B9"/>
    <w:rsid w:val="00706ABD"/>
    <w:rsid w:val="00706B3D"/>
    <w:rsid w:val="00706F03"/>
    <w:rsid w:val="0070787F"/>
    <w:rsid w:val="00707953"/>
    <w:rsid w:val="00707B64"/>
    <w:rsid w:val="00707D45"/>
    <w:rsid w:val="00710008"/>
    <w:rsid w:val="00711572"/>
    <w:rsid w:val="00711CA7"/>
    <w:rsid w:val="00712076"/>
    <w:rsid w:val="00713094"/>
    <w:rsid w:val="00714548"/>
    <w:rsid w:val="00714C8E"/>
    <w:rsid w:val="00716223"/>
    <w:rsid w:val="00716729"/>
    <w:rsid w:val="00716AE1"/>
    <w:rsid w:val="00717F5E"/>
    <w:rsid w:val="00720A72"/>
    <w:rsid w:val="00721339"/>
    <w:rsid w:val="00721722"/>
    <w:rsid w:val="0072199A"/>
    <w:rsid w:val="00721D41"/>
    <w:rsid w:val="0072204F"/>
    <w:rsid w:val="00722085"/>
    <w:rsid w:val="00722B2C"/>
    <w:rsid w:val="00722E05"/>
    <w:rsid w:val="00722EEB"/>
    <w:rsid w:val="007238F1"/>
    <w:rsid w:val="00723DB8"/>
    <w:rsid w:val="00724BD9"/>
    <w:rsid w:val="007250BE"/>
    <w:rsid w:val="00725F6C"/>
    <w:rsid w:val="00726BDE"/>
    <w:rsid w:val="007272ED"/>
    <w:rsid w:val="007273B4"/>
    <w:rsid w:val="00727B5F"/>
    <w:rsid w:val="00727DB9"/>
    <w:rsid w:val="00730125"/>
    <w:rsid w:val="00731360"/>
    <w:rsid w:val="007320F7"/>
    <w:rsid w:val="00732AF5"/>
    <w:rsid w:val="00732EE0"/>
    <w:rsid w:val="00735555"/>
    <w:rsid w:val="0073579F"/>
    <w:rsid w:val="00735E40"/>
    <w:rsid w:val="0073692E"/>
    <w:rsid w:val="007400EA"/>
    <w:rsid w:val="00740315"/>
    <w:rsid w:val="0074083B"/>
    <w:rsid w:val="007418B1"/>
    <w:rsid w:val="00741E6F"/>
    <w:rsid w:val="00742A02"/>
    <w:rsid w:val="00743688"/>
    <w:rsid w:val="007438CC"/>
    <w:rsid w:val="00745236"/>
    <w:rsid w:val="00745DAC"/>
    <w:rsid w:val="00747259"/>
    <w:rsid w:val="00750165"/>
    <w:rsid w:val="0075037F"/>
    <w:rsid w:val="00750460"/>
    <w:rsid w:val="00750F75"/>
    <w:rsid w:val="007522AE"/>
    <w:rsid w:val="00752DFA"/>
    <w:rsid w:val="00755126"/>
    <w:rsid w:val="00755600"/>
    <w:rsid w:val="00756137"/>
    <w:rsid w:val="00756193"/>
    <w:rsid w:val="007565C1"/>
    <w:rsid w:val="0075690F"/>
    <w:rsid w:val="007570FF"/>
    <w:rsid w:val="00757270"/>
    <w:rsid w:val="007573ED"/>
    <w:rsid w:val="007577F7"/>
    <w:rsid w:val="0076075D"/>
    <w:rsid w:val="00760A39"/>
    <w:rsid w:val="00760C66"/>
    <w:rsid w:val="00760D29"/>
    <w:rsid w:val="00762640"/>
    <w:rsid w:val="007630FF"/>
    <w:rsid w:val="007648FF"/>
    <w:rsid w:val="0076628A"/>
    <w:rsid w:val="00766E3A"/>
    <w:rsid w:val="007670F2"/>
    <w:rsid w:val="0076721D"/>
    <w:rsid w:val="00767658"/>
    <w:rsid w:val="00767BE5"/>
    <w:rsid w:val="00767E5F"/>
    <w:rsid w:val="0077003F"/>
    <w:rsid w:val="007708EE"/>
    <w:rsid w:val="00770B2B"/>
    <w:rsid w:val="007716AB"/>
    <w:rsid w:val="00771D5B"/>
    <w:rsid w:val="0077286F"/>
    <w:rsid w:val="00772CD6"/>
    <w:rsid w:val="00775538"/>
    <w:rsid w:val="0077681F"/>
    <w:rsid w:val="00776D8C"/>
    <w:rsid w:val="0077785A"/>
    <w:rsid w:val="00777F32"/>
    <w:rsid w:val="007801A8"/>
    <w:rsid w:val="007806C3"/>
    <w:rsid w:val="00780D3B"/>
    <w:rsid w:val="00780F82"/>
    <w:rsid w:val="00781156"/>
    <w:rsid w:val="00781EE0"/>
    <w:rsid w:val="007831AD"/>
    <w:rsid w:val="007831BF"/>
    <w:rsid w:val="00783D07"/>
    <w:rsid w:val="007845A0"/>
    <w:rsid w:val="007864D6"/>
    <w:rsid w:val="00786F54"/>
    <w:rsid w:val="00787280"/>
    <w:rsid w:val="007874D3"/>
    <w:rsid w:val="0079198A"/>
    <w:rsid w:val="007933E0"/>
    <w:rsid w:val="00794431"/>
    <w:rsid w:val="0079469A"/>
    <w:rsid w:val="00794EA9"/>
    <w:rsid w:val="0079578E"/>
    <w:rsid w:val="00795AA3"/>
    <w:rsid w:val="007963B7"/>
    <w:rsid w:val="007963DB"/>
    <w:rsid w:val="00796E7F"/>
    <w:rsid w:val="00797360"/>
    <w:rsid w:val="00797660"/>
    <w:rsid w:val="007976AF"/>
    <w:rsid w:val="0079773C"/>
    <w:rsid w:val="00797A51"/>
    <w:rsid w:val="00797B0A"/>
    <w:rsid w:val="007A01CF"/>
    <w:rsid w:val="007A0B8C"/>
    <w:rsid w:val="007A0CF9"/>
    <w:rsid w:val="007A1045"/>
    <w:rsid w:val="007A17FD"/>
    <w:rsid w:val="007A2A9E"/>
    <w:rsid w:val="007A2F4C"/>
    <w:rsid w:val="007A30C4"/>
    <w:rsid w:val="007A405B"/>
    <w:rsid w:val="007A476B"/>
    <w:rsid w:val="007A509D"/>
    <w:rsid w:val="007A57E3"/>
    <w:rsid w:val="007A60B1"/>
    <w:rsid w:val="007A6E00"/>
    <w:rsid w:val="007B04EA"/>
    <w:rsid w:val="007B0617"/>
    <w:rsid w:val="007B0A7B"/>
    <w:rsid w:val="007B0ECE"/>
    <w:rsid w:val="007B1212"/>
    <w:rsid w:val="007B209C"/>
    <w:rsid w:val="007B4081"/>
    <w:rsid w:val="007B55AE"/>
    <w:rsid w:val="007B5C93"/>
    <w:rsid w:val="007B6335"/>
    <w:rsid w:val="007B7317"/>
    <w:rsid w:val="007B77F7"/>
    <w:rsid w:val="007C0200"/>
    <w:rsid w:val="007C0B06"/>
    <w:rsid w:val="007C0CAF"/>
    <w:rsid w:val="007C0CE0"/>
    <w:rsid w:val="007C133C"/>
    <w:rsid w:val="007C15E3"/>
    <w:rsid w:val="007C16F2"/>
    <w:rsid w:val="007C386B"/>
    <w:rsid w:val="007C5263"/>
    <w:rsid w:val="007C5279"/>
    <w:rsid w:val="007C72C4"/>
    <w:rsid w:val="007D06D5"/>
    <w:rsid w:val="007D0DE2"/>
    <w:rsid w:val="007D192B"/>
    <w:rsid w:val="007D32F9"/>
    <w:rsid w:val="007D37AF"/>
    <w:rsid w:val="007D3DAE"/>
    <w:rsid w:val="007D4290"/>
    <w:rsid w:val="007D5160"/>
    <w:rsid w:val="007D5779"/>
    <w:rsid w:val="007D7429"/>
    <w:rsid w:val="007D74FE"/>
    <w:rsid w:val="007D79D2"/>
    <w:rsid w:val="007E0B3B"/>
    <w:rsid w:val="007E206D"/>
    <w:rsid w:val="007E2785"/>
    <w:rsid w:val="007E32AE"/>
    <w:rsid w:val="007E35FE"/>
    <w:rsid w:val="007E4F7A"/>
    <w:rsid w:val="007E5216"/>
    <w:rsid w:val="007E5C62"/>
    <w:rsid w:val="007E6699"/>
    <w:rsid w:val="007E6DBD"/>
    <w:rsid w:val="007E765A"/>
    <w:rsid w:val="007E7D5A"/>
    <w:rsid w:val="007F0337"/>
    <w:rsid w:val="007F04C4"/>
    <w:rsid w:val="007F1C9A"/>
    <w:rsid w:val="007F2FB2"/>
    <w:rsid w:val="007F4768"/>
    <w:rsid w:val="007F57A7"/>
    <w:rsid w:val="007F589D"/>
    <w:rsid w:val="007F6EF7"/>
    <w:rsid w:val="007F7350"/>
    <w:rsid w:val="007F7A5F"/>
    <w:rsid w:val="00800276"/>
    <w:rsid w:val="00800727"/>
    <w:rsid w:val="008016F5"/>
    <w:rsid w:val="00801FE4"/>
    <w:rsid w:val="00802A9C"/>
    <w:rsid w:val="008032CE"/>
    <w:rsid w:val="00803B50"/>
    <w:rsid w:val="00803C94"/>
    <w:rsid w:val="00804BE3"/>
    <w:rsid w:val="00805308"/>
    <w:rsid w:val="00806F35"/>
    <w:rsid w:val="00806F8B"/>
    <w:rsid w:val="00807176"/>
    <w:rsid w:val="00807899"/>
    <w:rsid w:val="0081005E"/>
    <w:rsid w:val="008107B4"/>
    <w:rsid w:val="00810CA7"/>
    <w:rsid w:val="008126AE"/>
    <w:rsid w:val="008128F8"/>
    <w:rsid w:val="00813F1B"/>
    <w:rsid w:val="0081519F"/>
    <w:rsid w:val="00815273"/>
    <w:rsid w:val="0081647D"/>
    <w:rsid w:val="00816845"/>
    <w:rsid w:val="008168A4"/>
    <w:rsid w:val="00816A2D"/>
    <w:rsid w:val="0081713F"/>
    <w:rsid w:val="00820932"/>
    <w:rsid w:val="00821612"/>
    <w:rsid w:val="00821FFD"/>
    <w:rsid w:val="00823FEA"/>
    <w:rsid w:val="0082652E"/>
    <w:rsid w:val="00826EEA"/>
    <w:rsid w:val="008275AE"/>
    <w:rsid w:val="00830915"/>
    <w:rsid w:val="00830E82"/>
    <w:rsid w:val="00830FD0"/>
    <w:rsid w:val="0083109A"/>
    <w:rsid w:val="00831F95"/>
    <w:rsid w:val="00832BE6"/>
    <w:rsid w:val="00833328"/>
    <w:rsid w:val="00833E62"/>
    <w:rsid w:val="00836D8D"/>
    <w:rsid w:val="0084055E"/>
    <w:rsid w:val="00841123"/>
    <w:rsid w:val="00841512"/>
    <w:rsid w:val="008416A1"/>
    <w:rsid w:val="008435E4"/>
    <w:rsid w:val="00843984"/>
    <w:rsid w:val="00843ABF"/>
    <w:rsid w:val="00844581"/>
    <w:rsid w:val="0084648C"/>
    <w:rsid w:val="00846E86"/>
    <w:rsid w:val="00847C02"/>
    <w:rsid w:val="0085002C"/>
    <w:rsid w:val="00851D37"/>
    <w:rsid w:val="00851FBA"/>
    <w:rsid w:val="00852703"/>
    <w:rsid w:val="00852986"/>
    <w:rsid w:val="00853A12"/>
    <w:rsid w:val="00853AD0"/>
    <w:rsid w:val="00854493"/>
    <w:rsid w:val="00854A5C"/>
    <w:rsid w:val="00855B1C"/>
    <w:rsid w:val="00855BA9"/>
    <w:rsid w:val="00855F8D"/>
    <w:rsid w:val="0085771B"/>
    <w:rsid w:val="00857999"/>
    <w:rsid w:val="00861C16"/>
    <w:rsid w:val="00862784"/>
    <w:rsid w:val="00862A5E"/>
    <w:rsid w:val="0086314E"/>
    <w:rsid w:val="008645C1"/>
    <w:rsid w:val="008659B7"/>
    <w:rsid w:val="00866FA5"/>
    <w:rsid w:val="008672D6"/>
    <w:rsid w:val="00870591"/>
    <w:rsid w:val="008713DB"/>
    <w:rsid w:val="0087180F"/>
    <w:rsid w:val="00873232"/>
    <w:rsid w:val="00873336"/>
    <w:rsid w:val="00874368"/>
    <w:rsid w:val="0087477D"/>
    <w:rsid w:val="00874A51"/>
    <w:rsid w:val="00874B61"/>
    <w:rsid w:val="00874B76"/>
    <w:rsid w:val="00875206"/>
    <w:rsid w:val="00875DC3"/>
    <w:rsid w:val="008760C4"/>
    <w:rsid w:val="00876EC5"/>
    <w:rsid w:val="00876F18"/>
    <w:rsid w:val="0087775A"/>
    <w:rsid w:val="00877D8E"/>
    <w:rsid w:val="0088005D"/>
    <w:rsid w:val="00880983"/>
    <w:rsid w:val="00881376"/>
    <w:rsid w:val="0088187C"/>
    <w:rsid w:val="00881972"/>
    <w:rsid w:val="00881CDC"/>
    <w:rsid w:val="008833A4"/>
    <w:rsid w:val="00884C2A"/>
    <w:rsid w:val="00884F26"/>
    <w:rsid w:val="00886657"/>
    <w:rsid w:val="008866B1"/>
    <w:rsid w:val="00886B2C"/>
    <w:rsid w:val="00887192"/>
    <w:rsid w:val="008875AB"/>
    <w:rsid w:val="008903FF"/>
    <w:rsid w:val="00890485"/>
    <w:rsid w:val="008905AC"/>
    <w:rsid w:val="008906F9"/>
    <w:rsid w:val="00890C69"/>
    <w:rsid w:val="0089105C"/>
    <w:rsid w:val="00891F66"/>
    <w:rsid w:val="00892911"/>
    <w:rsid w:val="00893A62"/>
    <w:rsid w:val="0089439F"/>
    <w:rsid w:val="008943C3"/>
    <w:rsid w:val="008948D1"/>
    <w:rsid w:val="008950FF"/>
    <w:rsid w:val="00895176"/>
    <w:rsid w:val="00895215"/>
    <w:rsid w:val="00895459"/>
    <w:rsid w:val="008966E1"/>
    <w:rsid w:val="00896A2C"/>
    <w:rsid w:val="00897FBB"/>
    <w:rsid w:val="008A099E"/>
    <w:rsid w:val="008A1149"/>
    <w:rsid w:val="008A12FC"/>
    <w:rsid w:val="008A22AB"/>
    <w:rsid w:val="008A2AE1"/>
    <w:rsid w:val="008A2CB5"/>
    <w:rsid w:val="008A2EB3"/>
    <w:rsid w:val="008A3410"/>
    <w:rsid w:val="008A467F"/>
    <w:rsid w:val="008A4C3A"/>
    <w:rsid w:val="008A521A"/>
    <w:rsid w:val="008A5AF6"/>
    <w:rsid w:val="008A73E8"/>
    <w:rsid w:val="008A7E56"/>
    <w:rsid w:val="008B0808"/>
    <w:rsid w:val="008B0E8F"/>
    <w:rsid w:val="008B17A7"/>
    <w:rsid w:val="008B1B3D"/>
    <w:rsid w:val="008B308F"/>
    <w:rsid w:val="008B40DA"/>
    <w:rsid w:val="008B43AC"/>
    <w:rsid w:val="008B4E46"/>
    <w:rsid w:val="008B4FDA"/>
    <w:rsid w:val="008B5291"/>
    <w:rsid w:val="008B562E"/>
    <w:rsid w:val="008B6AE6"/>
    <w:rsid w:val="008B6ED3"/>
    <w:rsid w:val="008B7032"/>
    <w:rsid w:val="008B7AAC"/>
    <w:rsid w:val="008B7EA8"/>
    <w:rsid w:val="008B7EB7"/>
    <w:rsid w:val="008C00B6"/>
    <w:rsid w:val="008C07C8"/>
    <w:rsid w:val="008C0865"/>
    <w:rsid w:val="008C0B2F"/>
    <w:rsid w:val="008C18F3"/>
    <w:rsid w:val="008C1CC7"/>
    <w:rsid w:val="008C23DD"/>
    <w:rsid w:val="008C25F5"/>
    <w:rsid w:val="008C2DAB"/>
    <w:rsid w:val="008C5239"/>
    <w:rsid w:val="008D012A"/>
    <w:rsid w:val="008D1080"/>
    <w:rsid w:val="008D1EB5"/>
    <w:rsid w:val="008D1F74"/>
    <w:rsid w:val="008D3B2D"/>
    <w:rsid w:val="008D3CB1"/>
    <w:rsid w:val="008D44F6"/>
    <w:rsid w:val="008D4F24"/>
    <w:rsid w:val="008D5361"/>
    <w:rsid w:val="008D5AE5"/>
    <w:rsid w:val="008D61F4"/>
    <w:rsid w:val="008D627B"/>
    <w:rsid w:val="008D6F4A"/>
    <w:rsid w:val="008D7236"/>
    <w:rsid w:val="008D7E3D"/>
    <w:rsid w:val="008E0DF7"/>
    <w:rsid w:val="008E0E91"/>
    <w:rsid w:val="008E117E"/>
    <w:rsid w:val="008E189D"/>
    <w:rsid w:val="008E2896"/>
    <w:rsid w:val="008E3297"/>
    <w:rsid w:val="008E6002"/>
    <w:rsid w:val="008E62CC"/>
    <w:rsid w:val="008E68A8"/>
    <w:rsid w:val="008E6AD9"/>
    <w:rsid w:val="008E6B7C"/>
    <w:rsid w:val="008E7B2A"/>
    <w:rsid w:val="008E7FCA"/>
    <w:rsid w:val="008F06AE"/>
    <w:rsid w:val="008F13C3"/>
    <w:rsid w:val="008F2741"/>
    <w:rsid w:val="008F28E4"/>
    <w:rsid w:val="008F3E16"/>
    <w:rsid w:val="008F4521"/>
    <w:rsid w:val="008F5000"/>
    <w:rsid w:val="008F5B5E"/>
    <w:rsid w:val="008F6FAE"/>
    <w:rsid w:val="00901060"/>
    <w:rsid w:val="009011C1"/>
    <w:rsid w:val="00901313"/>
    <w:rsid w:val="00901373"/>
    <w:rsid w:val="00902B0B"/>
    <w:rsid w:val="00902EE4"/>
    <w:rsid w:val="00902F0F"/>
    <w:rsid w:val="0090430D"/>
    <w:rsid w:val="0090448C"/>
    <w:rsid w:val="00904B23"/>
    <w:rsid w:val="00905883"/>
    <w:rsid w:val="00905CE3"/>
    <w:rsid w:val="00906165"/>
    <w:rsid w:val="009061AB"/>
    <w:rsid w:val="009068A9"/>
    <w:rsid w:val="00906C20"/>
    <w:rsid w:val="009071F4"/>
    <w:rsid w:val="00912CAA"/>
    <w:rsid w:val="00913A99"/>
    <w:rsid w:val="0091653A"/>
    <w:rsid w:val="00917646"/>
    <w:rsid w:val="00920E7B"/>
    <w:rsid w:val="00921E39"/>
    <w:rsid w:val="00923BA5"/>
    <w:rsid w:val="00923ECC"/>
    <w:rsid w:val="009242F5"/>
    <w:rsid w:val="009254F7"/>
    <w:rsid w:val="00926357"/>
    <w:rsid w:val="00926AB6"/>
    <w:rsid w:val="00927121"/>
    <w:rsid w:val="0092735B"/>
    <w:rsid w:val="0092791C"/>
    <w:rsid w:val="00927B2F"/>
    <w:rsid w:val="0093021B"/>
    <w:rsid w:val="00930723"/>
    <w:rsid w:val="00932055"/>
    <w:rsid w:val="00932325"/>
    <w:rsid w:val="009333EB"/>
    <w:rsid w:val="009335F7"/>
    <w:rsid w:val="00933620"/>
    <w:rsid w:val="0093447E"/>
    <w:rsid w:val="00936240"/>
    <w:rsid w:val="00936CDC"/>
    <w:rsid w:val="009372D5"/>
    <w:rsid w:val="0094026E"/>
    <w:rsid w:val="0094204F"/>
    <w:rsid w:val="0094385D"/>
    <w:rsid w:val="00943AC8"/>
    <w:rsid w:val="00943C6F"/>
    <w:rsid w:val="00944536"/>
    <w:rsid w:val="00944640"/>
    <w:rsid w:val="00945347"/>
    <w:rsid w:val="0094536F"/>
    <w:rsid w:val="009457A4"/>
    <w:rsid w:val="0094616A"/>
    <w:rsid w:val="0094620B"/>
    <w:rsid w:val="00946E45"/>
    <w:rsid w:val="00946F10"/>
    <w:rsid w:val="00950747"/>
    <w:rsid w:val="009524B8"/>
    <w:rsid w:val="0095269C"/>
    <w:rsid w:val="009527BE"/>
    <w:rsid w:val="00953A66"/>
    <w:rsid w:val="009541C3"/>
    <w:rsid w:val="0095508C"/>
    <w:rsid w:val="00956EAF"/>
    <w:rsid w:val="00956F6C"/>
    <w:rsid w:val="00957414"/>
    <w:rsid w:val="00957D35"/>
    <w:rsid w:val="00960835"/>
    <w:rsid w:val="00961175"/>
    <w:rsid w:val="00961D62"/>
    <w:rsid w:val="00962667"/>
    <w:rsid w:val="0096268C"/>
    <w:rsid w:val="00963327"/>
    <w:rsid w:val="00963B01"/>
    <w:rsid w:val="00964125"/>
    <w:rsid w:val="0096417E"/>
    <w:rsid w:val="009654DC"/>
    <w:rsid w:val="0096593C"/>
    <w:rsid w:val="009660ED"/>
    <w:rsid w:val="0097045F"/>
    <w:rsid w:val="00970755"/>
    <w:rsid w:val="00970B91"/>
    <w:rsid w:val="00970DCD"/>
    <w:rsid w:val="00971765"/>
    <w:rsid w:val="00971AB9"/>
    <w:rsid w:val="00971E48"/>
    <w:rsid w:val="00971F3F"/>
    <w:rsid w:val="00971FB4"/>
    <w:rsid w:val="00972363"/>
    <w:rsid w:val="0097312E"/>
    <w:rsid w:val="00973EBB"/>
    <w:rsid w:val="00975BF1"/>
    <w:rsid w:val="009765D5"/>
    <w:rsid w:val="0097699B"/>
    <w:rsid w:val="009775E3"/>
    <w:rsid w:val="00977913"/>
    <w:rsid w:val="00977BA7"/>
    <w:rsid w:val="00977CEA"/>
    <w:rsid w:val="00981505"/>
    <w:rsid w:val="009827AB"/>
    <w:rsid w:val="00982DE3"/>
    <w:rsid w:val="0098395E"/>
    <w:rsid w:val="009846C8"/>
    <w:rsid w:val="00984762"/>
    <w:rsid w:val="009847F4"/>
    <w:rsid w:val="00984BA9"/>
    <w:rsid w:val="00984F2D"/>
    <w:rsid w:val="00985004"/>
    <w:rsid w:val="009856B8"/>
    <w:rsid w:val="00985F50"/>
    <w:rsid w:val="009867D5"/>
    <w:rsid w:val="009869E1"/>
    <w:rsid w:val="00986A2E"/>
    <w:rsid w:val="00990362"/>
    <w:rsid w:val="009905CA"/>
    <w:rsid w:val="00990E72"/>
    <w:rsid w:val="0099121C"/>
    <w:rsid w:val="009923B2"/>
    <w:rsid w:val="00992A8B"/>
    <w:rsid w:val="009936A1"/>
    <w:rsid w:val="00994737"/>
    <w:rsid w:val="00997872"/>
    <w:rsid w:val="00997939"/>
    <w:rsid w:val="00997FA0"/>
    <w:rsid w:val="009A096B"/>
    <w:rsid w:val="009A0FF0"/>
    <w:rsid w:val="009A19D2"/>
    <w:rsid w:val="009A19DD"/>
    <w:rsid w:val="009A1DC3"/>
    <w:rsid w:val="009A1E7B"/>
    <w:rsid w:val="009A31B6"/>
    <w:rsid w:val="009A3B16"/>
    <w:rsid w:val="009A45DA"/>
    <w:rsid w:val="009A5450"/>
    <w:rsid w:val="009A5C64"/>
    <w:rsid w:val="009A60F4"/>
    <w:rsid w:val="009A6BB5"/>
    <w:rsid w:val="009B01C8"/>
    <w:rsid w:val="009B03D7"/>
    <w:rsid w:val="009B0555"/>
    <w:rsid w:val="009B1881"/>
    <w:rsid w:val="009B1E12"/>
    <w:rsid w:val="009B3784"/>
    <w:rsid w:val="009B3D3C"/>
    <w:rsid w:val="009B3F51"/>
    <w:rsid w:val="009B481C"/>
    <w:rsid w:val="009B4D4D"/>
    <w:rsid w:val="009B500A"/>
    <w:rsid w:val="009B62D5"/>
    <w:rsid w:val="009C0170"/>
    <w:rsid w:val="009C0267"/>
    <w:rsid w:val="009C0FAB"/>
    <w:rsid w:val="009C1819"/>
    <w:rsid w:val="009C1AAC"/>
    <w:rsid w:val="009C21FE"/>
    <w:rsid w:val="009C233E"/>
    <w:rsid w:val="009C2A3F"/>
    <w:rsid w:val="009C315E"/>
    <w:rsid w:val="009C323E"/>
    <w:rsid w:val="009C39F2"/>
    <w:rsid w:val="009C43A8"/>
    <w:rsid w:val="009C55BF"/>
    <w:rsid w:val="009C5659"/>
    <w:rsid w:val="009C5A9E"/>
    <w:rsid w:val="009C5B8C"/>
    <w:rsid w:val="009C5DEE"/>
    <w:rsid w:val="009C717F"/>
    <w:rsid w:val="009C7B56"/>
    <w:rsid w:val="009C7D08"/>
    <w:rsid w:val="009D0C4B"/>
    <w:rsid w:val="009D43A7"/>
    <w:rsid w:val="009D51DD"/>
    <w:rsid w:val="009D54C7"/>
    <w:rsid w:val="009D76A8"/>
    <w:rsid w:val="009E0C8D"/>
    <w:rsid w:val="009E13E0"/>
    <w:rsid w:val="009E1A0C"/>
    <w:rsid w:val="009E1E7D"/>
    <w:rsid w:val="009E216A"/>
    <w:rsid w:val="009E27BA"/>
    <w:rsid w:val="009E2A43"/>
    <w:rsid w:val="009E2FDC"/>
    <w:rsid w:val="009E31DC"/>
    <w:rsid w:val="009E4147"/>
    <w:rsid w:val="009E4865"/>
    <w:rsid w:val="009E4A5D"/>
    <w:rsid w:val="009E4CAB"/>
    <w:rsid w:val="009E4DF7"/>
    <w:rsid w:val="009E5A86"/>
    <w:rsid w:val="009E5E06"/>
    <w:rsid w:val="009E6160"/>
    <w:rsid w:val="009E6E1F"/>
    <w:rsid w:val="009E70FF"/>
    <w:rsid w:val="009E7875"/>
    <w:rsid w:val="009E7C12"/>
    <w:rsid w:val="009F078C"/>
    <w:rsid w:val="009F095F"/>
    <w:rsid w:val="009F17D8"/>
    <w:rsid w:val="009F303B"/>
    <w:rsid w:val="009F3631"/>
    <w:rsid w:val="009F490A"/>
    <w:rsid w:val="009F49D8"/>
    <w:rsid w:val="009F6B95"/>
    <w:rsid w:val="009F75ED"/>
    <w:rsid w:val="009F7873"/>
    <w:rsid w:val="00A00684"/>
    <w:rsid w:val="00A037B5"/>
    <w:rsid w:val="00A041DB"/>
    <w:rsid w:val="00A04455"/>
    <w:rsid w:val="00A04B9A"/>
    <w:rsid w:val="00A04D93"/>
    <w:rsid w:val="00A052A8"/>
    <w:rsid w:val="00A0608E"/>
    <w:rsid w:val="00A10AD2"/>
    <w:rsid w:val="00A1242A"/>
    <w:rsid w:val="00A12712"/>
    <w:rsid w:val="00A132C7"/>
    <w:rsid w:val="00A13A9F"/>
    <w:rsid w:val="00A13D64"/>
    <w:rsid w:val="00A13E62"/>
    <w:rsid w:val="00A1408B"/>
    <w:rsid w:val="00A1437D"/>
    <w:rsid w:val="00A14467"/>
    <w:rsid w:val="00A150EA"/>
    <w:rsid w:val="00A17CE0"/>
    <w:rsid w:val="00A201DF"/>
    <w:rsid w:val="00A21C0B"/>
    <w:rsid w:val="00A21CD0"/>
    <w:rsid w:val="00A22BEB"/>
    <w:rsid w:val="00A234F0"/>
    <w:rsid w:val="00A2452C"/>
    <w:rsid w:val="00A2573D"/>
    <w:rsid w:val="00A26510"/>
    <w:rsid w:val="00A26F8E"/>
    <w:rsid w:val="00A308D1"/>
    <w:rsid w:val="00A3163C"/>
    <w:rsid w:val="00A31E41"/>
    <w:rsid w:val="00A32056"/>
    <w:rsid w:val="00A32A78"/>
    <w:rsid w:val="00A32BD4"/>
    <w:rsid w:val="00A338BD"/>
    <w:rsid w:val="00A342BD"/>
    <w:rsid w:val="00A352CA"/>
    <w:rsid w:val="00A355CA"/>
    <w:rsid w:val="00A35A71"/>
    <w:rsid w:val="00A35CB2"/>
    <w:rsid w:val="00A3632D"/>
    <w:rsid w:val="00A37BA5"/>
    <w:rsid w:val="00A37CC0"/>
    <w:rsid w:val="00A401D3"/>
    <w:rsid w:val="00A40577"/>
    <w:rsid w:val="00A4085E"/>
    <w:rsid w:val="00A40CB9"/>
    <w:rsid w:val="00A4291D"/>
    <w:rsid w:val="00A44BD4"/>
    <w:rsid w:val="00A456E5"/>
    <w:rsid w:val="00A458A2"/>
    <w:rsid w:val="00A45C7B"/>
    <w:rsid w:val="00A46895"/>
    <w:rsid w:val="00A46E01"/>
    <w:rsid w:val="00A46EEC"/>
    <w:rsid w:val="00A4738A"/>
    <w:rsid w:val="00A4761E"/>
    <w:rsid w:val="00A52D51"/>
    <w:rsid w:val="00A52DCF"/>
    <w:rsid w:val="00A534C3"/>
    <w:rsid w:val="00A53A62"/>
    <w:rsid w:val="00A53E5C"/>
    <w:rsid w:val="00A543BB"/>
    <w:rsid w:val="00A5601C"/>
    <w:rsid w:val="00A576EF"/>
    <w:rsid w:val="00A61862"/>
    <w:rsid w:val="00A62099"/>
    <w:rsid w:val="00A62A74"/>
    <w:rsid w:val="00A6377A"/>
    <w:rsid w:val="00A63943"/>
    <w:rsid w:val="00A63A7A"/>
    <w:rsid w:val="00A63B03"/>
    <w:rsid w:val="00A646C0"/>
    <w:rsid w:val="00A6487F"/>
    <w:rsid w:val="00A6507E"/>
    <w:rsid w:val="00A656C8"/>
    <w:rsid w:val="00A65C4A"/>
    <w:rsid w:val="00A668EA"/>
    <w:rsid w:val="00A66FAB"/>
    <w:rsid w:val="00A6717B"/>
    <w:rsid w:val="00A6763E"/>
    <w:rsid w:val="00A678AD"/>
    <w:rsid w:val="00A70391"/>
    <w:rsid w:val="00A71ABC"/>
    <w:rsid w:val="00A72E25"/>
    <w:rsid w:val="00A7337B"/>
    <w:rsid w:val="00A743B6"/>
    <w:rsid w:val="00A74876"/>
    <w:rsid w:val="00A7495F"/>
    <w:rsid w:val="00A764F0"/>
    <w:rsid w:val="00A76744"/>
    <w:rsid w:val="00A767DE"/>
    <w:rsid w:val="00A779C9"/>
    <w:rsid w:val="00A808F5"/>
    <w:rsid w:val="00A8189F"/>
    <w:rsid w:val="00A82773"/>
    <w:rsid w:val="00A82B23"/>
    <w:rsid w:val="00A845AF"/>
    <w:rsid w:val="00A85257"/>
    <w:rsid w:val="00A85343"/>
    <w:rsid w:val="00A85A58"/>
    <w:rsid w:val="00A85C14"/>
    <w:rsid w:val="00A87800"/>
    <w:rsid w:val="00A90691"/>
    <w:rsid w:val="00A90A05"/>
    <w:rsid w:val="00A912C5"/>
    <w:rsid w:val="00A91A16"/>
    <w:rsid w:val="00A91D64"/>
    <w:rsid w:val="00A91EF3"/>
    <w:rsid w:val="00A93771"/>
    <w:rsid w:val="00A93FD3"/>
    <w:rsid w:val="00A94275"/>
    <w:rsid w:val="00A946AF"/>
    <w:rsid w:val="00A96237"/>
    <w:rsid w:val="00A96605"/>
    <w:rsid w:val="00A97482"/>
    <w:rsid w:val="00A9772D"/>
    <w:rsid w:val="00AA0181"/>
    <w:rsid w:val="00AA030F"/>
    <w:rsid w:val="00AA0CE8"/>
    <w:rsid w:val="00AA2114"/>
    <w:rsid w:val="00AA2DB5"/>
    <w:rsid w:val="00AA2E5D"/>
    <w:rsid w:val="00AA32E2"/>
    <w:rsid w:val="00AA3CD6"/>
    <w:rsid w:val="00AA405E"/>
    <w:rsid w:val="00AA4EE2"/>
    <w:rsid w:val="00AA51FC"/>
    <w:rsid w:val="00AA606B"/>
    <w:rsid w:val="00AA6154"/>
    <w:rsid w:val="00AA6518"/>
    <w:rsid w:val="00AA67F7"/>
    <w:rsid w:val="00AA6FD3"/>
    <w:rsid w:val="00AA77B1"/>
    <w:rsid w:val="00AB1043"/>
    <w:rsid w:val="00AB1491"/>
    <w:rsid w:val="00AB228E"/>
    <w:rsid w:val="00AB281E"/>
    <w:rsid w:val="00AB3D59"/>
    <w:rsid w:val="00AB453A"/>
    <w:rsid w:val="00AB5126"/>
    <w:rsid w:val="00AB5559"/>
    <w:rsid w:val="00AB5B52"/>
    <w:rsid w:val="00AB7231"/>
    <w:rsid w:val="00AB7584"/>
    <w:rsid w:val="00AB7B6E"/>
    <w:rsid w:val="00AC06DB"/>
    <w:rsid w:val="00AC0EC9"/>
    <w:rsid w:val="00AC215A"/>
    <w:rsid w:val="00AC21CB"/>
    <w:rsid w:val="00AC28FD"/>
    <w:rsid w:val="00AC4282"/>
    <w:rsid w:val="00AC48C6"/>
    <w:rsid w:val="00AC7861"/>
    <w:rsid w:val="00AD1CA1"/>
    <w:rsid w:val="00AD2048"/>
    <w:rsid w:val="00AD23D0"/>
    <w:rsid w:val="00AD2FAE"/>
    <w:rsid w:val="00AD346C"/>
    <w:rsid w:val="00AD36C1"/>
    <w:rsid w:val="00AD506D"/>
    <w:rsid w:val="00AD5290"/>
    <w:rsid w:val="00AD570D"/>
    <w:rsid w:val="00AD6586"/>
    <w:rsid w:val="00AD6BF6"/>
    <w:rsid w:val="00AD75A5"/>
    <w:rsid w:val="00AD7D54"/>
    <w:rsid w:val="00AE0702"/>
    <w:rsid w:val="00AE1FDD"/>
    <w:rsid w:val="00AE208A"/>
    <w:rsid w:val="00AE239A"/>
    <w:rsid w:val="00AE311B"/>
    <w:rsid w:val="00AE349B"/>
    <w:rsid w:val="00AE365E"/>
    <w:rsid w:val="00AE3DA9"/>
    <w:rsid w:val="00AE3E42"/>
    <w:rsid w:val="00AE573B"/>
    <w:rsid w:val="00AE74F2"/>
    <w:rsid w:val="00AE7A14"/>
    <w:rsid w:val="00AF0BF9"/>
    <w:rsid w:val="00AF1083"/>
    <w:rsid w:val="00AF1F84"/>
    <w:rsid w:val="00AF26E5"/>
    <w:rsid w:val="00AF31BD"/>
    <w:rsid w:val="00AF4684"/>
    <w:rsid w:val="00AF46EC"/>
    <w:rsid w:val="00AF4A80"/>
    <w:rsid w:val="00AF68AD"/>
    <w:rsid w:val="00B00093"/>
    <w:rsid w:val="00B0087B"/>
    <w:rsid w:val="00B0152E"/>
    <w:rsid w:val="00B02064"/>
    <w:rsid w:val="00B02412"/>
    <w:rsid w:val="00B0393C"/>
    <w:rsid w:val="00B03D6F"/>
    <w:rsid w:val="00B03EBA"/>
    <w:rsid w:val="00B053BE"/>
    <w:rsid w:val="00B0549F"/>
    <w:rsid w:val="00B066CC"/>
    <w:rsid w:val="00B074E9"/>
    <w:rsid w:val="00B101B5"/>
    <w:rsid w:val="00B10276"/>
    <w:rsid w:val="00B128D7"/>
    <w:rsid w:val="00B13B0F"/>
    <w:rsid w:val="00B1428C"/>
    <w:rsid w:val="00B1439D"/>
    <w:rsid w:val="00B14727"/>
    <w:rsid w:val="00B14C5D"/>
    <w:rsid w:val="00B14E45"/>
    <w:rsid w:val="00B14FDA"/>
    <w:rsid w:val="00B1630E"/>
    <w:rsid w:val="00B16C9E"/>
    <w:rsid w:val="00B16D89"/>
    <w:rsid w:val="00B17BE0"/>
    <w:rsid w:val="00B2005C"/>
    <w:rsid w:val="00B207BA"/>
    <w:rsid w:val="00B20A13"/>
    <w:rsid w:val="00B20EF1"/>
    <w:rsid w:val="00B21D0F"/>
    <w:rsid w:val="00B23DB2"/>
    <w:rsid w:val="00B249BB"/>
    <w:rsid w:val="00B25195"/>
    <w:rsid w:val="00B25904"/>
    <w:rsid w:val="00B2693B"/>
    <w:rsid w:val="00B27D15"/>
    <w:rsid w:val="00B31B3F"/>
    <w:rsid w:val="00B33264"/>
    <w:rsid w:val="00B334AB"/>
    <w:rsid w:val="00B34CCC"/>
    <w:rsid w:val="00B35210"/>
    <w:rsid w:val="00B359B1"/>
    <w:rsid w:val="00B364DA"/>
    <w:rsid w:val="00B400C1"/>
    <w:rsid w:val="00B403AD"/>
    <w:rsid w:val="00B40474"/>
    <w:rsid w:val="00B40634"/>
    <w:rsid w:val="00B40953"/>
    <w:rsid w:val="00B40B69"/>
    <w:rsid w:val="00B413EB"/>
    <w:rsid w:val="00B41B48"/>
    <w:rsid w:val="00B428F0"/>
    <w:rsid w:val="00B42AF8"/>
    <w:rsid w:val="00B42D39"/>
    <w:rsid w:val="00B44216"/>
    <w:rsid w:val="00B4481E"/>
    <w:rsid w:val="00B4515A"/>
    <w:rsid w:val="00B45537"/>
    <w:rsid w:val="00B46268"/>
    <w:rsid w:val="00B46F9C"/>
    <w:rsid w:val="00B47D35"/>
    <w:rsid w:val="00B50C23"/>
    <w:rsid w:val="00B52364"/>
    <w:rsid w:val="00B52DBC"/>
    <w:rsid w:val="00B53E82"/>
    <w:rsid w:val="00B5436B"/>
    <w:rsid w:val="00B55473"/>
    <w:rsid w:val="00B5576F"/>
    <w:rsid w:val="00B559A9"/>
    <w:rsid w:val="00B57419"/>
    <w:rsid w:val="00B57B7B"/>
    <w:rsid w:val="00B60984"/>
    <w:rsid w:val="00B60B11"/>
    <w:rsid w:val="00B610A7"/>
    <w:rsid w:val="00B615C1"/>
    <w:rsid w:val="00B61E22"/>
    <w:rsid w:val="00B631C9"/>
    <w:rsid w:val="00B63353"/>
    <w:rsid w:val="00B63C0C"/>
    <w:rsid w:val="00B64250"/>
    <w:rsid w:val="00B64876"/>
    <w:rsid w:val="00B64985"/>
    <w:rsid w:val="00B64EFC"/>
    <w:rsid w:val="00B6558D"/>
    <w:rsid w:val="00B6590C"/>
    <w:rsid w:val="00B70950"/>
    <w:rsid w:val="00B71EA5"/>
    <w:rsid w:val="00B723BA"/>
    <w:rsid w:val="00B72924"/>
    <w:rsid w:val="00B741B2"/>
    <w:rsid w:val="00B74224"/>
    <w:rsid w:val="00B76145"/>
    <w:rsid w:val="00B770A7"/>
    <w:rsid w:val="00B77B28"/>
    <w:rsid w:val="00B77F04"/>
    <w:rsid w:val="00B806D0"/>
    <w:rsid w:val="00B808FE"/>
    <w:rsid w:val="00B80A75"/>
    <w:rsid w:val="00B81B48"/>
    <w:rsid w:val="00B832BF"/>
    <w:rsid w:val="00B843BD"/>
    <w:rsid w:val="00B84798"/>
    <w:rsid w:val="00B8541F"/>
    <w:rsid w:val="00B869BC"/>
    <w:rsid w:val="00B91601"/>
    <w:rsid w:val="00B91F8C"/>
    <w:rsid w:val="00B9238D"/>
    <w:rsid w:val="00B9415A"/>
    <w:rsid w:val="00B94395"/>
    <w:rsid w:val="00B978B1"/>
    <w:rsid w:val="00BA1675"/>
    <w:rsid w:val="00BA1943"/>
    <w:rsid w:val="00BA1CC7"/>
    <w:rsid w:val="00BA2241"/>
    <w:rsid w:val="00BA2A90"/>
    <w:rsid w:val="00BA2EAF"/>
    <w:rsid w:val="00BA32D8"/>
    <w:rsid w:val="00BA3A65"/>
    <w:rsid w:val="00BA411D"/>
    <w:rsid w:val="00BA5CBE"/>
    <w:rsid w:val="00BA67C8"/>
    <w:rsid w:val="00BA741A"/>
    <w:rsid w:val="00BA7F1A"/>
    <w:rsid w:val="00BB040A"/>
    <w:rsid w:val="00BB088A"/>
    <w:rsid w:val="00BB0976"/>
    <w:rsid w:val="00BB0A28"/>
    <w:rsid w:val="00BB123B"/>
    <w:rsid w:val="00BB12D6"/>
    <w:rsid w:val="00BB1A0E"/>
    <w:rsid w:val="00BB25B6"/>
    <w:rsid w:val="00BB3000"/>
    <w:rsid w:val="00BB5294"/>
    <w:rsid w:val="00BB53DD"/>
    <w:rsid w:val="00BB5F30"/>
    <w:rsid w:val="00BB652C"/>
    <w:rsid w:val="00BB66EC"/>
    <w:rsid w:val="00BB7349"/>
    <w:rsid w:val="00BC0495"/>
    <w:rsid w:val="00BC073A"/>
    <w:rsid w:val="00BC1514"/>
    <w:rsid w:val="00BC1756"/>
    <w:rsid w:val="00BC243F"/>
    <w:rsid w:val="00BC2E11"/>
    <w:rsid w:val="00BC31B5"/>
    <w:rsid w:val="00BC3A70"/>
    <w:rsid w:val="00BC5219"/>
    <w:rsid w:val="00BC58AF"/>
    <w:rsid w:val="00BC61A2"/>
    <w:rsid w:val="00BC736B"/>
    <w:rsid w:val="00BC7449"/>
    <w:rsid w:val="00BD0B03"/>
    <w:rsid w:val="00BD24E4"/>
    <w:rsid w:val="00BD28FE"/>
    <w:rsid w:val="00BD2F61"/>
    <w:rsid w:val="00BD37D2"/>
    <w:rsid w:val="00BD44A1"/>
    <w:rsid w:val="00BD52AA"/>
    <w:rsid w:val="00BD5D15"/>
    <w:rsid w:val="00BD66FF"/>
    <w:rsid w:val="00BD7FCF"/>
    <w:rsid w:val="00BE03CE"/>
    <w:rsid w:val="00BE056B"/>
    <w:rsid w:val="00BE07DB"/>
    <w:rsid w:val="00BE0AC4"/>
    <w:rsid w:val="00BE3886"/>
    <w:rsid w:val="00BE41EA"/>
    <w:rsid w:val="00BE4747"/>
    <w:rsid w:val="00BE509F"/>
    <w:rsid w:val="00BE68BE"/>
    <w:rsid w:val="00BE709C"/>
    <w:rsid w:val="00BE710D"/>
    <w:rsid w:val="00BF0926"/>
    <w:rsid w:val="00BF1065"/>
    <w:rsid w:val="00BF15DC"/>
    <w:rsid w:val="00BF1E78"/>
    <w:rsid w:val="00BF2C52"/>
    <w:rsid w:val="00BF3155"/>
    <w:rsid w:val="00BF32B1"/>
    <w:rsid w:val="00BF3FBE"/>
    <w:rsid w:val="00BF429A"/>
    <w:rsid w:val="00BF49AD"/>
    <w:rsid w:val="00BF4AC4"/>
    <w:rsid w:val="00BF58A5"/>
    <w:rsid w:val="00BF5C7C"/>
    <w:rsid w:val="00BF5EF0"/>
    <w:rsid w:val="00C01755"/>
    <w:rsid w:val="00C02D61"/>
    <w:rsid w:val="00C02E5C"/>
    <w:rsid w:val="00C03434"/>
    <w:rsid w:val="00C034BF"/>
    <w:rsid w:val="00C038B4"/>
    <w:rsid w:val="00C03BFA"/>
    <w:rsid w:val="00C03F21"/>
    <w:rsid w:val="00C04465"/>
    <w:rsid w:val="00C044AD"/>
    <w:rsid w:val="00C048A5"/>
    <w:rsid w:val="00C056E2"/>
    <w:rsid w:val="00C05CCE"/>
    <w:rsid w:val="00C06865"/>
    <w:rsid w:val="00C12017"/>
    <w:rsid w:val="00C1271A"/>
    <w:rsid w:val="00C131D0"/>
    <w:rsid w:val="00C13459"/>
    <w:rsid w:val="00C13DEB"/>
    <w:rsid w:val="00C1552A"/>
    <w:rsid w:val="00C15B4C"/>
    <w:rsid w:val="00C15C12"/>
    <w:rsid w:val="00C15E7E"/>
    <w:rsid w:val="00C167B5"/>
    <w:rsid w:val="00C16825"/>
    <w:rsid w:val="00C1777F"/>
    <w:rsid w:val="00C210FC"/>
    <w:rsid w:val="00C2126B"/>
    <w:rsid w:val="00C21B2C"/>
    <w:rsid w:val="00C21C67"/>
    <w:rsid w:val="00C22418"/>
    <w:rsid w:val="00C2389C"/>
    <w:rsid w:val="00C24E0C"/>
    <w:rsid w:val="00C25395"/>
    <w:rsid w:val="00C2547E"/>
    <w:rsid w:val="00C30249"/>
    <w:rsid w:val="00C30485"/>
    <w:rsid w:val="00C30A05"/>
    <w:rsid w:val="00C31BF2"/>
    <w:rsid w:val="00C32220"/>
    <w:rsid w:val="00C336D4"/>
    <w:rsid w:val="00C34809"/>
    <w:rsid w:val="00C34C19"/>
    <w:rsid w:val="00C34F3C"/>
    <w:rsid w:val="00C35214"/>
    <w:rsid w:val="00C36039"/>
    <w:rsid w:val="00C3676A"/>
    <w:rsid w:val="00C3747B"/>
    <w:rsid w:val="00C37AD5"/>
    <w:rsid w:val="00C37D02"/>
    <w:rsid w:val="00C41514"/>
    <w:rsid w:val="00C41F5F"/>
    <w:rsid w:val="00C42C70"/>
    <w:rsid w:val="00C43340"/>
    <w:rsid w:val="00C433A1"/>
    <w:rsid w:val="00C44810"/>
    <w:rsid w:val="00C4514D"/>
    <w:rsid w:val="00C45DF3"/>
    <w:rsid w:val="00C45E29"/>
    <w:rsid w:val="00C46AF2"/>
    <w:rsid w:val="00C46B53"/>
    <w:rsid w:val="00C47E70"/>
    <w:rsid w:val="00C5064C"/>
    <w:rsid w:val="00C50EE0"/>
    <w:rsid w:val="00C514E7"/>
    <w:rsid w:val="00C51E57"/>
    <w:rsid w:val="00C52CF1"/>
    <w:rsid w:val="00C538AC"/>
    <w:rsid w:val="00C54AA0"/>
    <w:rsid w:val="00C55C07"/>
    <w:rsid w:val="00C5655F"/>
    <w:rsid w:val="00C5680B"/>
    <w:rsid w:val="00C5753C"/>
    <w:rsid w:val="00C603DB"/>
    <w:rsid w:val="00C608DD"/>
    <w:rsid w:val="00C60922"/>
    <w:rsid w:val="00C60F1D"/>
    <w:rsid w:val="00C6111D"/>
    <w:rsid w:val="00C62448"/>
    <w:rsid w:val="00C62FEC"/>
    <w:rsid w:val="00C63110"/>
    <w:rsid w:val="00C63906"/>
    <w:rsid w:val="00C6390A"/>
    <w:rsid w:val="00C64A07"/>
    <w:rsid w:val="00C64E67"/>
    <w:rsid w:val="00C65CB1"/>
    <w:rsid w:val="00C65E27"/>
    <w:rsid w:val="00C667D8"/>
    <w:rsid w:val="00C66B5B"/>
    <w:rsid w:val="00C672B7"/>
    <w:rsid w:val="00C67942"/>
    <w:rsid w:val="00C7018D"/>
    <w:rsid w:val="00C70CB2"/>
    <w:rsid w:val="00C712E0"/>
    <w:rsid w:val="00C71563"/>
    <w:rsid w:val="00C721D5"/>
    <w:rsid w:val="00C727AA"/>
    <w:rsid w:val="00C7303D"/>
    <w:rsid w:val="00C7357B"/>
    <w:rsid w:val="00C74691"/>
    <w:rsid w:val="00C74BA9"/>
    <w:rsid w:val="00C75632"/>
    <w:rsid w:val="00C75DB0"/>
    <w:rsid w:val="00C764D0"/>
    <w:rsid w:val="00C772D4"/>
    <w:rsid w:val="00C800B4"/>
    <w:rsid w:val="00C822C4"/>
    <w:rsid w:val="00C8249B"/>
    <w:rsid w:val="00C824D8"/>
    <w:rsid w:val="00C82EA7"/>
    <w:rsid w:val="00C82F9F"/>
    <w:rsid w:val="00C838A0"/>
    <w:rsid w:val="00C8403C"/>
    <w:rsid w:val="00C841EE"/>
    <w:rsid w:val="00C84AAE"/>
    <w:rsid w:val="00C858EA"/>
    <w:rsid w:val="00C85AFF"/>
    <w:rsid w:val="00C85C39"/>
    <w:rsid w:val="00C871C3"/>
    <w:rsid w:val="00C91124"/>
    <w:rsid w:val="00C91D5D"/>
    <w:rsid w:val="00C9210A"/>
    <w:rsid w:val="00C92D6D"/>
    <w:rsid w:val="00C93E3A"/>
    <w:rsid w:val="00C9476A"/>
    <w:rsid w:val="00C94FEA"/>
    <w:rsid w:val="00C958AF"/>
    <w:rsid w:val="00C95AFE"/>
    <w:rsid w:val="00C96DF3"/>
    <w:rsid w:val="00C97933"/>
    <w:rsid w:val="00C97935"/>
    <w:rsid w:val="00CA0A37"/>
    <w:rsid w:val="00CA1061"/>
    <w:rsid w:val="00CA114B"/>
    <w:rsid w:val="00CA1657"/>
    <w:rsid w:val="00CA18A1"/>
    <w:rsid w:val="00CA191D"/>
    <w:rsid w:val="00CA2E54"/>
    <w:rsid w:val="00CA3BD1"/>
    <w:rsid w:val="00CA45E7"/>
    <w:rsid w:val="00CA4B85"/>
    <w:rsid w:val="00CA56B2"/>
    <w:rsid w:val="00CA57F7"/>
    <w:rsid w:val="00CA7001"/>
    <w:rsid w:val="00CA700F"/>
    <w:rsid w:val="00CA7723"/>
    <w:rsid w:val="00CA7A90"/>
    <w:rsid w:val="00CA7E8C"/>
    <w:rsid w:val="00CB0D08"/>
    <w:rsid w:val="00CB0EAE"/>
    <w:rsid w:val="00CB151D"/>
    <w:rsid w:val="00CB20E5"/>
    <w:rsid w:val="00CB23D8"/>
    <w:rsid w:val="00CB25A1"/>
    <w:rsid w:val="00CB3020"/>
    <w:rsid w:val="00CB33E9"/>
    <w:rsid w:val="00CB347A"/>
    <w:rsid w:val="00CB35E6"/>
    <w:rsid w:val="00CB3D26"/>
    <w:rsid w:val="00CB50D7"/>
    <w:rsid w:val="00CB51C8"/>
    <w:rsid w:val="00CB5BA7"/>
    <w:rsid w:val="00CB5FD4"/>
    <w:rsid w:val="00CB6A09"/>
    <w:rsid w:val="00CB6B3A"/>
    <w:rsid w:val="00CB7D9B"/>
    <w:rsid w:val="00CC0088"/>
    <w:rsid w:val="00CC0221"/>
    <w:rsid w:val="00CC04C5"/>
    <w:rsid w:val="00CC1021"/>
    <w:rsid w:val="00CC335E"/>
    <w:rsid w:val="00CC38F3"/>
    <w:rsid w:val="00CC3FAA"/>
    <w:rsid w:val="00CC450F"/>
    <w:rsid w:val="00CC5912"/>
    <w:rsid w:val="00CC5C56"/>
    <w:rsid w:val="00CC5FFF"/>
    <w:rsid w:val="00CC6F4F"/>
    <w:rsid w:val="00CD138E"/>
    <w:rsid w:val="00CD1ADA"/>
    <w:rsid w:val="00CD2431"/>
    <w:rsid w:val="00CD3270"/>
    <w:rsid w:val="00CD42E5"/>
    <w:rsid w:val="00CD49D4"/>
    <w:rsid w:val="00CD5950"/>
    <w:rsid w:val="00CD61E3"/>
    <w:rsid w:val="00CE0370"/>
    <w:rsid w:val="00CE07A6"/>
    <w:rsid w:val="00CE0C61"/>
    <w:rsid w:val="00CE1415"/>
    <w:rsid w:val="00CE2BBD"/>
    <w:rsid w:val="00CE3588"/>
    <w:rsid w:val="00CE395C"/>
    <w:rsid w:val="00CE4338"/>
    <w:rsid w:val="00CE6C0C"/>
    <w:rsid w:val="00CE7040"/>
    <w:rsid w:val="00CE71F4"/>
    <w:rsid w:val="00CE73E2"/>
    <w:rsid w:val="00CE7C2A"/>
    <w:rsid w:val="00CF0FB3"/>
    <w:rsid w:val="00CF1DE4"/>
    <w:rsid w:val="00CF1E9D"/>
    <w:rsid w:val="00CF224F"/>
    <w:rsid w:val="00CF3B7F"/>
    <w:rsid w:val="00CF3E5D"/>
    <w:rsid w:val="00CF4AC3"/>
    <w:rsid w:val="00CF534D"/>
    <w:rsid w:val="00CF540C"/>
    <w:rsid w:val="00CF674F"/>
    <w:rsid w:val="00CF70A7"/>
    <w:rsid w:val="00CF7380"/>
    <w:rsid w:val="00CF7E8A"/>
    <w:rsid w:val="00D008B8"/>
    <w:rsid w:val="00D00BDB"/>
    <w:rsid w:val="00D014DE"/>
    <w:rsid w:val="00D02C93"/>
    <w:rsid w:val="00D036F0"/>
    <w:rsid w:val="00D05762"/>
    <w:rsid w:val="00D073DB"/>
    <w:rsid w:val="00D1038F"/>
    <w:rsid w:val="00D12F47"/>
    <w:rsid w:val="00D130B0"/>
    <w:rsid w:val="00D1365C"/>
    <w:rsid w:val="00D137FF"/>
    <w:rsid w:val="00D13D94"/>
    <w:rsid w:val="00D13F6D"/>
    <w:rsid w:val="00D14025"/>
    <w:rsid w:val="00D1538C"/>
    <w:rsid w:val="00D153CC"/>
    <w:rsid w:val="00D15E22"/>
    <w:rsid w:val="00D16923"/>
    <w:rsid w:val="00D171CD"/>
    <w:rsid w:val="00D17F18"/>
    <w:rsid w:val="00D21792"/>
    <w:rsid w:val="00D22D10"/>
    <w:rsid w:val="00D232B9"/>
    <w:rsid w:val="00D2357D"/>
    <w:rsid w:val="00D249E6"/>
    <w:rsid w:val="00D2580F"/>
    <w:rsid w:val="00D2673D"/>
    <w:rsid w:val="00D26D90"/>
    <w:rsid w:val="00D2702B"/>
    <w:rsid w:val="00D27EFD"/>
    <w:rsid w:val="00D30503"/>
    <w:rsid w:val="00D3101B"/>
    <w:rsid w:val="00D31F22"/>
    <w:rsid w:val="00D3262C"/>
    <w:rsid w:val="00D32FD9"/>
    <w:rsid w:val="00D33085"/>
    <w:rsid w:val="00D333A3"/>
    <w:rsid w:val="00D33480"/>
    <w:rsid w:val="00D33CB7"/>
    <w:rsid w:val="00D343A9"/>
    <w:rsid w:val="00D3490A"/>
    <w:rsid w:val="00D36074"/>
    <w:rsid w:val="00D36107"/>
    <w:rsid w:val="00D37C0E"/>
    <w:rsid w:val="00D37E06"/>
    <w:rsid w:val="00D40748"/>
    <w:rsid w:val="00D40F99"/>
    <w:rsid w:val="00D417BC"/>
    <w:rsid w:val="00D425DD"/>
    <w:rsid w:val="00D4284B"/>
    <w:rsid w:val="00D43C9D"/>
    <w:rsid w:val="00D4435A"/>
    <w:rsid w:val="00D4463E"/>
    <w:rsid w:val="00D4497E"/>
    <w:rsid w:val="00D45E06"/>
    <w:rsid w:val="00D45F0F"/>
    <w:rsid w:val="00D45F46"/>
    <w:rsid w:val="00D461EA"/>
    <w:rsid w:val="00D46240"/>
    <w:rsid w:val="00D47C56"/>
    <w:rsid w:val="00D502CC"/>
    <w:rsid w:val="00D51AAC"/>
    <w:rsid w:val="00D52250"/>
    <w:rsid w:val="00D538C6"/>
    <w:rsid w:val="00D5473C"/>
    <w:rsid w:val="00D55D46"/>
    <w:rsid w:val="00D562AA"/>
    <w:rsid w:val="00D57921"/>
    <w:rsid w:val="00D57CFB"/>
    <w:rsid w:val="00D603E0"/>
    <w:rsid w:val="00D61793"/>
    <w:rsid w:val="00D623C7"/>
    <w:rsid w:val="00D62AFB"/>
    <w:rsid w:val="00D6345C"/>
    <w:rsid w:val="00D63DD8"/>
    <w:rsid w:val="00D6490F"/>
    <w:rsid w:val="00D656AF"/>
    <w:rsid w:val="00D65768"/>
    <w:rsid w:val="00D666EA"/>
    <w:rsid w:val="00D67FEC"/>
    <w:rsid w:val="00D7150B"/>
    <w:rsid w:val="00D7279D"/>
    <w:rsid w:val="00D72B3B"/>
    <w:rsid w:val="00D72D05"/>
    <w:rsid w:val="00D72EC3"/>
    <w:rsid w:val="00D72FED"/>
    <w:rsid w:val="00D73D97"/>
    <w:rsid w:val="00D7402B"/>
    <w:rsid w:val="00D74E61"/>
    <w:rsid w:val="00D75ADF"/>
    <w:rsid w:val="00D763AA"/>
    <w:rsid w:val="00D773B0"/>
    <w:rsid w:val="00D777EB"/>
    <w:rsid w:val="00D77AED"/>
    <w:rsid w:val="00D80A9D"/>
    <w:rsid w:val="00D816A3"/>
    <w:rsid w:val="00D8231C"/>
    <w:rsid w:val="00D82399"/>
    <w:rsid w:val="00D8398F"/>
    <w:rsid w:val="00D840CF"/>
    <w:rsid w:val="00D84113"/>
    <w:rsid w:val="00D85BDE"/>
    <w:rsid w:val="00D86513"/>
    <w:rsid w:val="00D86C5F"/>
    <w:rsid w:val="00D87B5B"/>
    <w:rsid w:val="00D87F56"/>
    <w:rsid w:val="00D91970"/>
    <w:rsid w:val="00D9222C"/>
    <w:rsid w:val="00D92C48"/>
    <w:rsid w:val="00D949CD"/>
    <w:rsid w:val="00D94ECB"/>
    <w:rsid w:val="00D95B63"/>
    <w:rsid w:val="00D95D37"/>
    <w:rsid w:val="00D962DD"/>
    <w:rsid w:val="00D968CD"/>
    <w:rsid w:val="00D96AED"/>
    <w:rsid w:val="00D9766B"/>
    <w:rsid w:val="00DA004A"/>
    <w:rsid w:val="00DA048B"/>
    <w:rsid w:val="00DA0BB2"/>
    <w:rsid w:val="00DA14F2"/>
    <w:rsid w:val="00DA4484"/>
    <w:rsid w:val="00DA4D46"/>
    <w:rsid w:val="00DA51AB"/>
    <w:rsid w:val="00DA57A3"/>
    <w:rsid w:val="00DA63C9"/>
    <w:rsid w:val="00DA7A12"/>
    <w:rsid w:val="00DB00F4"/>
    <w:rsid w:val="00DB0104"/>
    <w:rsid w:val="00DB0D44"/>
    <w:rsid w:val="00DB1A19"/>
    <w:rsid w:val="00DB494C"/>
    <w:rsid w:val="00DB4ACF"/>
    <w:rsid w:val="00DB57EF"/>
    <w:rsid w:val="00DB698A"/>
    <w:rsid w:val="00DC080F"/>
    <w:rsid w:val="00DC0F26"/>
    <w:rsid w:val="00DC101E"/>
    <w:rsid w:val="00DC17F5"/>
    <w:rsid w:val="00DC1812"/>
    <w:rsid w:val="00DC28B0"/>
    <w:rsid w:val="00DC2985"/>
    <w:rsid w:val="00DC404B"/>
    <w:rsid w:val="00DC4707"/>
    <w:rsid w:val="00DC47D6"/>
    <w:rsid w:val="00DC5634"/>
    <w:rsid w:val="00DC570C"/>
    <w:rsid w:val="00DC5947"/>
    <w:rsid w:val="00DC5A87"/>
    <w:rsid w:val="00DC6FBF"/>
    <w:rsid w:val="00DC71CA"/>
    <w:rsid w:val="00DC73CB"/>
    <w:rsid w:val="00DC77DD"/>
    <w:rsid w:val="00DD084D"/>
    <w:rsid w:val="00DD17B6"/>
    <w:rsid w:val="00DD2D10"/>
    <w:rsid w:val="00DD339C"/>
    <w:rsid w:val="00DD33D9"/>
    <w:rsid w:val="00DD357F"/>
    <w:rsid w:val="00DD4293"/>
    <w:rsid w:val="00DD4FB3"/>
    <w:rsid w:val="00DD5343"/>
    <w:rsid w:val="00DD535A"/>
    <w:rsid w:val="00DD5DC8"/>
    <w:rsid w:val="00DD5FFE"/>
    <w:rsid w:val="00DD6671"/>
    <w:rsid w:val="00DD6812"/>
    <w:rsid w:val="00DD724B"/>
    <w:rsid w:val="00DD7841"/>
    <w:rsid w:val="00DE03DF"/>
    <w:rsid w:val="00DE05AB"/>
    <w:rsid w:val="00DE05C7"/>
    <w:rsid w:val="00DE0E03"/>
    <w:rsid w:val="00DE1B8B"/>
    <w:rsid w:val="00DE1DB5"/>
    <w:rsid w:val="00DE3630"/>
    <w:rsid w:val="00DE37C5"/>
    <w:rsid w:val="00DE3BE2"/>
    <w:rsid w:val="00DE4243"/>
    <w:rsid w:val="00DE45A7"/>
    <w:rsid w:val="00DE4C40"/>
    <w:rsid w:val="00DE610E"/>
    <w:rsid w:val="00DF0132"/>
    <w:rsid w:val="00DF1173"/>
    <w:rsid w:val="00DF1C62"/>
    <w:rsid w:val="00DF2497"/>
    <w:rsid w:val="00DF2654"/>
    <w:rsid w:val="00DF3141"/>
    <w:rsid w:val="00DF38E5"/>
    <w:rsid w:val="00DF3CF2"/>
    <w:rsid w:val="00DF447B"/>
    <w:rsid w:val="00DF5BF7"/>
    <w:rsid w:val="00DF72CF"/>
    <w:rsid w:val="00DF742F"/>
    <w:rsid w:val="00E00CFF"/>
    <w:rsid w:val="00E01A5D"/>
    <w:rsid w:val="00E01C40"/>
    <w:rsid w:val="00E02011"/>
    <w:rsid w:val="00E02592"/>
    <w:rsid w:val="00E027D4"/>
    <w:rsid w:val="00E02F6F"/>
    <w:rsid w:val="00E0331F"/>
    <w:rsid w:val="00E0442E"/>
    <w:rsid w:val="00E058FF"/>
    <w:rsid w:val="00E05B97"/>
    <w:rsid w:val="00E06311"/>
    <w:rsid w:val="00E0633E"/>
    <w:rsid w:val="00E067F0"/>
    <w:rsid w:val="00E06900"/>
    <w:rsid w:val="00E069BF"/>
    <w:rsid w:val="00E06B54"/>
    <w:rsid w:val="00E06FBE"/>
    <w:rsid w:val="00E07D55"/>
    <w:rsid w:val="00E10D55"/>
    <w:rsid w:val="00E11DC2"/>
    <w:rsid w:val="00E13739"/>
    <w:rsid w:val="00E13AA4"/>
    <w:rsid w:val="00E13FEE"/>
    <w:rsid w:val="00E14228"/>
    <w:rsid w:val="00E15171"/>
    <w:rsid w:val="00E15A73"/>
    <w:rsid w:val="00E163E8"/>
    <w:rsid w:val="00E1742F"/>
    <w:rsid w:val="00E1776B"/>
    <w:rsid w:val="00E17C8D"/>
    <w:rsid w:val="00E20982"/>
    <w:rsid w:val="00E20B2F"/>
    <w:rsid w:val="00E20F21"/>
    <w:rsid w:val="00E2318A"/>
    <w:rsid w:val="00E236F7"/>
    <w:rsid w:val="00E23BC6"/>
    <w:rsid w:val="00E243C1"/>
    <w:rsid w:val="00E246C3"/>
    <w:rsid w:val="00E24B7F"/>
    <w:rsid w:val="00E24EB0"/>
    <w:rsid w:val="00E2585D"/>
    <w:rsid w:val="00E2595B"/>
    <w:rsid w:val="00E26B5E"/>
    <w:rsid w:val="00E276EC"/>
    <w:rsid w:val="00E3026B"/>
    <w:rsid w:val="00E30FA5"/>
    <w:rsid w:val="00E31590"/>
    <w:rsid w:val="00E31772"/>
    <w:rsid w:val="00E325F1"/>
    <w:rsid w:val="00E32620"/>
    <w:rsid w:val="00E33ACB"/>
    <w:rsid w:val="00E33DFB"/>
    <w:rsid w:val="00E33E66"/>
    <w:rsid w:val="00E341EF"/>
    <w:rsid w:val="00E34278"/>
    <w:rsid w:val="00E34B6B"/>
    <w:rsid w:val="00E35CF8"/>
    <w:rsid w:val="00E35E50"/>
    <w:rsid w:val="00E35EC3"/>
    <w:rsid w:val="00E364FE"/>
    <w:rsid w:val="00E36D7D"/>
    <w:rsid w:val="00E36DF8"/>
    <w:rsid w:val="00E400DE"/>
    <w:rsid w:val="00E40380"/>
    <w:rsid w:val="00E406BD"/>
    <w:rsid w:val="00E413A9"/>
    <w:rsid w:val="00E4142A"/>
    <w:rsid w:val="00E414C4"/>
    <w:rsid w:val="00E41741"/>
    <w:rsid w:val="00E42236"/>
    <w:rsid w:val="00E43337"/>
    <w:rsid w:val="00E43C25"/>
    <w:rsid w:val="00E443CF"/>
    <w:rsid w:val="00E450B6"/>
    <w:rsid w:val="00E45CDE"/>
    <w:rsid w:val="00E46537"/>
    <w:rsid w:val="00E46CB2"/>
    <w:rsid w:val="00E474A7"/>
    <w:rsid w:val="00E52F3B"/>
    <w:rsid w:val="00E546DE"/>
    <w:rsid w:val="00E54E0D"/>
    <w:rsid w:val="00E55044"/>
    <w:rsid w:val="00E55A9F"/>
    <w:rsid w:val="00E57239"/>
    <w:rsid w:val="00E61F29"/>
    <w:rsid w:val="00E63111"/>
    <w:rsid w:val="00E64ACF"/>
    <w:rsid w:val="00E64B09"/>
    <w:rsid w:val="00E65075"/>
    <w:rsid w:val="00E651F0"/>
    <w:rsid w:val="00E6534E"/>
    <w:rsid w:val="00E65914"/>
    <w:rsid w:val="00E65CC2"/>
    <w:rsid w:val="00E660CD"/>
    <w:rsid w:val="00E6638C"/>
    <w:rsid w:val="00E666CA"/>
    <w:rsid w:val="00E6673F"/>
    <w:rsid w:val="00E70280"/>
    <w:rsid w:val="00E70A90"/>
    <w:rsid w:val="00E717A0"/>
    <w:rsid w:val="00E71C6C"/>
    <w:rsid w:val="00E71C78"/>
    <w:rsid w:val="00E71CDF"/>
    <w:rsid w:val="00E72948"/>
    <w:rsid w:val="00E732A8"/>
    <w:rsid w:val="00E73350"/>
    <w:rsid w:val="00E734D5"/>
    <w:rsid w:val="00E740B1"/>
    <w:rsid w:val="00E7755B"/>
    <w:rsid w:val="00E776BE"/>
    <w:rsid w:val="00E77D6A"/>
    <w:rsid w:val="00E77DDE"/>
    <w:rsid w:val="00E81368"/>
    <w:rsid w:val="00E81695"/>
    <w:rsid w:val="00E81EB5"/>
    <w:rsid w:val="00E82616"/>
    <w:rsid w:val="00E83036"/>
    <w:rsid w:val="00E8356E"/>
    <w:rsid w:val="00E8512F"/>
    <w:rsid w:val="00E86F64"/>
    <w:rsid w:val="00E87C42"/>
    <w:rsid w:val="00E90015"/>
    <w:rsid w:val="00E9166F"/>
    <w:rsid w:val="00E9198C"/>
    <w:rsid w:val="00E91C1C"/>
    <w:rsid w:val="00E926D9"/>
    <w:rsid w:val="00E92F8E"/>
    <w:rsid w:val="00E92FC0"/>
    <w:rsid w:val="00E9471E"/>
    <w:rsid w:val="00E948AB"/>
    <w:rsid w:val="00E9635F"/>
    <w:rsid w:val="00E96B90"/>
    <w:rsid w:val="00E976FB"/>
    <w:rsid w:val="00EA061F"/>
    <w:rsid w:val="00EA16FF"/>
    <w:rsid w:val="00EA34C3"/>
    <w:rsid w:val="00EA39D4"/>
    <w:rsid w:val="00EA3C3F"/>
    <w:rsid w:val="00EA49EA"/>
    <w:rsid w:val="00EA4A93"/>
    <w:rsid w:val="00EA587D"/>
    <w:rsid w:val="00EA5FF9"/>
    <w:rsid w:val="00EA7540"/>
    <w:rsid w:val="00EA7BFA"/>
    <w:rsid w:val="00EB1411"/>
    <w:rsid w:val="00EB2CD9"/>
    <w:rsid w:val="00EB2D3F"/>
    <w:rsid w:val="00EB2FCE"/>
    <w:rsid w:val="00EB322F"/>
    <w:rsid w:val="00EB3BB9"/>
    <w:rsid w:val="00EB4675"/>
    <w:rsid w:val="00EB4E5B"/>
    <w:rsid w:val="00EB5283"/>
    <w:rsid w:val="00EB56B5"/>
    <w:rsid w:val="00EB57C9"/>
    <w:rsid w:val="00EB69E6"/>
    <w:rsid w:val="00EB6A44"/>
    <w:rsid w:val="00EB6BC2"/>
    <w:rsid w:val="00EC0612"/>
    <w:rsid w:val="00EC1555"/>
    <w:rsid w:val="00EC1E0C"/>
    <w:rsid w:val="00EC20A8"/>
    <w:rsid w:val="00EC22C9"/>
    <w:rsid w:val="00EC2F4C"/>
    <w:rsid w:val="00EC4B08"/>
    <w:rsid w:val="00EC4B38"/>
    <w:rsid w:val="00EC5BF1"/>
    <w:rsid w:val="00EC6C2B"/>
    <w:rsid w:val="00EC7461"/>
    <w:rsid w:val="00ED0A7D"/>
    <w:rsid w:val="00ED0B59"/>
    <w:rsid w:val="00ED20F8"/>
    <w:rsid w:val="00ED4A45"/>
    <w:rsid w:val="00ED5FC9"/>
    <w:rsid w:val="00ED65BD"/>
    <w:rsid w:val="00ED6A1C"/>
    <w:rsid w:val="00ED7785"/>
    <w:rsid w:val="00ED7CE8"/>
    <w:rsid w:val="00EE0433"/>
    <w:rsid w:val="00EE1E28"/>
    <w:rsid w:val="00EE1FF4"/>
    <w:rsid w:val="00EE2110"/>
    <w:rsid w:val="00EE2CC2"/>
    <w:rsid w:val="00EE3F7E"/>
    <w:rsid w:val="00EE4A40"/>
    <w:rsid w:val="00EE55BB"/>
    <w:rsid w:val="00EF057D"/>
    <w:rsid w:val="00EF2053"/>
    <w:rsid w:val="00EF245C"/>
    <w:rsid w:val="00EF3817"/>
    <w:rsid w:val="00EF393F"/>
    <w:rsid w:val="00EF3E23"/>
    <w:rsid w:val="00EF4AD7"/>
    <w:rsid w:val="00EF4C98"/>
    <w:rsid w:val="00EF4E76"/>
    <w:rsid w:val="00EF5B46"/>
    <w:rsid w:val="00EF69B0"/>
    <w:rsid w:val="00F00510"/>
    <w:rsid w:val="00F005E8"/>
    <w:rsid w:val="00F00BBC"/>
    <w:rsid w:val="00F0177F"/>
    <w:rsid w:val="00F01AAD"/>
    <w:rsid w:val="00F02904"/>
    <w:rsid w:val="00F032EE"/>
    <w:rsid w:val="00F03429"/>
    <w:rsid w:val="00F0371A"/>
    <w:rsid w:val="00F03CF9"/>
    <w:rsid w:val="00F03DBB"/>
    <w:rsid w:val="00F03DC1"/>
    <w:rsid w:val="00F0468C"/>
    <w:rsid w:val="00F0516B"/>
    <w:rsid w:val="00F05416"/>
    <w:rsid w:val="00F062C3"/>
    <w:rsid w:val="00F06A09"/>
    <w:rsid w:val="00F07226"/>
    <w:rsid w:val="00F0798C"/>
    <w:rsid w:val="00F07A03"/>
    <w:rsid w:val="00F10DA2"/>
    <w:rsid w:val="00F12476"/>
    <w:rsid w:val="00F1255F"/>
    <w:rsid w:val="00F12CC7"/>
    <w:rsid w:val="00F12E8B"/>
    <w:rsid w:val="00F14400"/>
    <w:rsid w:val="00F16021"/>
    <w:rsid w:val="00F16B2B"/>
    <w:rsid w:val="00F1715E"/>
    <w:rsid w:val="00F17F65"/>
    <w:rsid w:val="00F2003F"/>
    <w:rsid w:val="00F2006C"/>
    <w:rsid w:val="00F20296"/>
    <w:rsid w:val="00F206F8"/>
    <w:rsid w:val="00F20C6D"/>
    <w:rsid w:val="00F2150E"/>
    <w:rsid w:val="00F21BA8"/>
    <w:rsid w:val="00F22038"/>
    <w:rsid w:val="00F23486"/>
    <w:rsid w:val="00F243B1"/>
    <w:rsid w:val="00F2759B"/>
    <w:rsid w:val="00F278DF"/>
    <w:rsid w:val="00F3006A"/>
    <w:rsid w:val="00F30343"/>
    <w:rsid w:val="00F3091F"/>
    <w:rsid w:val="00F30FC2"/>
    <w:rsid w:val="00F31761"/>
    <w:rsid w:val="00F31BC3"/>
    <w:rsid w:val="00F35592"/>
    <w:rsid w:val="00F35B87"/>
    <w:rsid w:val="00F35E7B"/>
    <w:rsid w:val="00F35F35"/>
    <w:rsid w:val="00F36A62"/>
    <w:rsid w:val="00F36C22"/>
    <w:rsid w:val="00F36ED3"/>
    <w:rsid w:val="00F37CE5"/>
    <w:rsid w:val="00F40336"/>
    <w:rsid w:val="00F41387"/>
    <w:rsid w:val="00F42A0B"/>
    <w:rsid w:val="00F4474D"/>
    <w:rsid w:val="00F4499D"/>
    <w:rsid w:val="00F452B6"/>
    <w:rsid w:val="00F46FDD"/>
    <w:rsid w:val="00F47F53"/>
    <w:rsid w:val="00F501D1"/>
    <w:rsid w:val="00F51037"/>
    <w:rsid w:val="00F51D77"/>
    <w:rsid w:val="00F51E43"/>
    <w:rsid w:val="00F52A7D"/>
    <w:rsid w:val="00F53784"/>
    <w:rsid w:val="00F542A4"/>
    <w:rsid w:val="00F55B7F"/>
    <w:rsid w:val="00F55C55"/>
    <w:rsid w:val="00F56384"/>
    <w:rsid w:val="00F56D13"/>
    <w:rsid w:val="00F571EF"/>
    <w:rsid w:val="00F6013E"/>
    <w:rsid w:val="00F6123A"/>
    <w:rsid w:val="00F61FA2"/>
    <w:rsid w:val="00F62398"/>
    <w:rsid w:val="00F62612"/>
    <w:rsid w:val="00F6329F"/>
    <w:rsid w:val="00F63518"/>
    <w:rsid w:val="00F63907"/>
    <w:rsid w:val="00F63FA4"/>
    <w:rsid w:val="00F643AD"/>
    <w:rsid w:val="00F64750"/>
    <w:rsid w:val="00F6694B"/>
    <w:rsid w:val="00F672DB"/>
    <w:rsid w:val="00F703F4"/>
    <w:rsid w:val="00F70A25"/>
    <w:rsid w:val="00F71062"/>
    <w:rsid w:val="00F71160"/>
    <w:rsid w:val="00F72193"/>
    <w:rsid w:val="00F724B9"/>
    <w:rsid w:val="00F725C8"/>
    <w:rsid w:val="00F7305D"/>
    <w:rsid w:val="00F7490F"/>
    <w:rsid w:val="00F7528F"/>
    <w:rsid w:val="00F76061"/>
    <w:rsid w:val="00F76169"/>
    <w:rsid w:val="00F77137"/>
    <w:rsid w:val="00F77666"/>
    <w:rsid w:val="00F80701"/>
    <w:rsid w:val="00F81017"/>
    <w:rsid w:val="00F81D86"/>
    <w:rsid w:val="00F833BD"/>
    <w:rsid w:val="00F83570"/>
    <w:rsid w:val="00F83E39"/>
    <w:rsid w:val="00F84239"/>
    <w:rsid w:val="00F843C2"/>
    <w:rsid w:val="00F8598E"/>
    <w:rsid w:val="00F85EA3"/>
    <w:rsid w:val="00F869DD"/>
    <w:rsid w:val="00F86C91"/>
    <w:rsid w:val="00F870ED"/>
    <w:rsid w:val="00F872CA"/>
    <w:rsid w:val="00F87F0C"/>
    <w:rsid w:val="00F87FE7"/>
    <w:rsid w:val="00F91EAE"/>
    <w:rsid w:val="00F920CE"/>
    <w:rsid w:val="00F922B0"/>
    <w:rsid w:val="00F92698"/>
    <w:rsid w:val="00F93086"/>
    <w:rsid w:val="00F9386D"/>
    <w:rsid w:val="00F93B61"/>
    <w:rsid w:val="00F9455A"/>
    <w:rsid w:val="00F94929"/>
    <w:rsid w:val="00F94CEC"/>
    <w:rsid w:val="00F95042"/>
    <w:rsid w:val="00F9563A"/>
    <w:rsid w:val="00F95BF7"/>
    <w:rsid w:val="00F96632"/>
    <w:rsid w:val="00FA0248"/>
    <w:rsid w:val="00FA026C"/>
    <w:rsid w:val="00FA0611"/>
    <w:rsid w:val="00FA1994"/>
    <w:rsid w:val="00FA36D2"/>
    <w:rsid w:val="00FA476A"/>
    <w:rsid w:val="00FA580D"/>
    <w:rsid w:val="00FA5A82"/>
    <w:rsid w:val="00FA62AF"/>
    <w:rsid w:val="00FB01D6"/>
    <w:rsid w:val="00FB0466"/>
    <w:rsid w:val="00FB18C6"/>
    <w:rsid w:val="00FB1D8C"/>
    <w:rsid w:val="00FB21EB"/>
    <w:rsid w:val="00FB29E8"/>
    <w:rsid w:val="00FB3A4E"/>
    <w:rsid w:val="00FB4584"/>
    <w:rsid w:val="00FB50A1"/>
    <w:rsid w:val="00FB64EF"/>
    <w:rsid w:val="00FB6D2F"/>
    <w:rsid w:val="00FC001F"/>
    <w:rsid w:val="00FC09CC"/>
    <w:rsid w:val="00FC0CDD"/>
    <w:rsid w:val="00FC3E7F"/>
    <w:rsid w:val="00FC4133"/>
    <w:rsid w:val="00FC4234"/>
    <w:rsid w:val="00FC4EF1"/>
    <w:rsid w:val="00FC511B"/>
    <w:rsid w:val="00FC53D4"/>
    <w:rsid w:val="00FC6091"/>
    <w:rsid w:val="00FC61EF"/>
    <w:rsid w:val="00FC63F0"/>
    <w:rsid w:val="00FC774F"/>
    <w:rsid w:val="00FC7F79"/>
    <w:rsid w:val="00FD1317"/>
    <w:rsid w:val="00FD217A"/>
    <w:rsid w:val="00FD2FF7"/>
    <w:rsid w:val="00FD3BEB"/>
    <w:rsid w:val="00FD3CEB"/>
    <w:rsid w:val="00FD3FCA"/>
    <w:rsid w:val="00FD4400"/>
    <w:rsid w:val="00FD46C2"/>
    <w:rsid w:val="00FD4866"/>
    <w:rsid w:val="00FD4AAE"/>
    <w:rsid w:val="00FD5D4A"/>
    <w:rsid w:val="00FD62AD"/>
    <w:rsid w:val="00FD6E2E"/>
    <w:rsid w:val="00FD7275"/>
    <w:rsid w:val="00FE085C"/>
    <w:rsid w:val="00FE10FE"/>
    <w:rsid w:val="00FE18B7"/>
    <w:rsid w:val="00FE1A7B"/>
    <w:rsid w:val="00FE22B6"/>
    <w:rsid w:val="00FE24DF"/>
    <w:rsid w:val="00FE2710"/>
    <w:rsid w:val="00FE336C"/>
    <w:rsid w:val="00FE3A18"/>
    <w:rsid w:val="00FE3E3B"/>
    <w:rsid w:val="00FE4504"/>
    <w:rsid w:val="00FE6822"/>
    <w:rsid w:val="00FE6FC5"/>
    <w:rsid w:val="00FE6FFF"/>
    <w:rsid w:val="00FE7648"/>
    <w:rsid w:val="00FE7706"/>
    <w:rsid w:val="00FE7716"/>
    <w:rsid w:val="00FF0302"/>
    <w:rsid w:val="00FF0895"/>
    <w:rsid w:val="00FF0A89"/>
    <w:rsid w:val="00FF0DF4"/>
    <w:rsid w:val="00FF106A"/>
    <w:rsid w:val="00FF16F8"/>
    <w:rsid w:val="00FF1C98"/>
    <w:rsid w:val="00FF298A"/>
    <w:rsid w:val="00FF3E9F"/>
    <w:rsid w:val="00FF4017"/>
    <w:rsid w:val="00FF44AB"/>
    <w:rsid w:val="00FF4FB1"/>
    <w:rsid w:val="00FF51DF"/>
    <w:rsid w:val="00FF595F"/>
    <w:rsid w:val="00FF5EE6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AE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9B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9B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8\Aral&#305;k%202018\2018%20y&#305;ll&#305;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8\Aral&#305;k%202018\2018%20y&#305;ll&#305;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8\Aral&#305;k%202018\2018%20y&#305;ll&#305;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8\Aral&#305;k%202018\2018%20y&#305;ll&#305;k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ERVE%20DUNDAR\Desktop\TEPE\2018\Aral&#305;k%202018\TEPAV_Perakende_Anketi_Tanim_ve_Sonuclari_2018_012_v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8\Aral&#305;k%202018\TEPAV_Perakende_Anketi_Tanim_ve_Sonuclari_2018_012_v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KOPE\2018\Aral&#305;k%202018\Perakende_G&#252;ven_Endeksi_Anketi_Tanim_ve_Sonuclari_2018_12_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530834472137269E-2"/>
          <c:y val="5.1400554097404488E-2"/>
          <c:w val="0.89522674128543844"/>
          <c:h val="0.86942111402741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Sayfa1!$D$3</c:f>
              <c:strCache>
                <c:ptCount val="1"/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268A1B"/>
              </a:solidFill>
            </c:spPr>
          </c:dPt>
          <c:dLbls>
            <c:dLbl>
              <c:idx val="4"/>
              <c:layout>
                <c:manualLayout>
                  <c:x val="0"/>
                  <c:y val="-2.8880866425992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Sayfa1!$E$2:$N$2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Sayfa1!$E$3:$N$3</c:f>
              <c:numCache>
                <c:formatCode>0.0</c:formatCode>
                <c:ptCount val="10"/>
                <c:pt idx="0">
                  <c:v>-13.085262398428171</c:v>
                </c:pt>
                <c:pt idx="1">
                  <c:v>-4.2938408575340343</c:v>
                </c:pt>
                <c:pt idx="2">
                  <c:v>1.3867599833075277</c:v>
                </c:pt>
                <c:pt idx="3">
                  <c:v>-3.6464616450249436</c:v>
                </c:pt>
                <c:pt idx="4">
                  <c:v>-0.92941112581482832</c:v>
                </c:pt>
                <c:pt idx="5">
                  <c:v>-9.3071595399973219</c:v>
                </c:pt>
                <c:pt idx="6">
                  <c:v>-5.3694642398304522</c:v>
                </c:pt>
                <c:pt idx="7">
                  <c:v>-10.316353444176038</c:v>
                </c:pt>
                <c:pt idx="8">
                  <c:v>-17.093265814262537</c:v>
                </c:pt>
                <c:pt idx="9">
                  <c:v>-13.736570757964536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1605248"/>
        <c:axId val="262747264"/>
      </c:barChart>
      <c:catAx>
        <c:axId val="28160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747264"/>
        <c:crosses val="autoZero"/>
        <c:auto val="1"/>
        <c:lblAlgn val="ctr"/>
        <c:lblOffset val="100"/>
        <c:noMultiLvlLbl val="0"/>
      </c:catAx>
      <c:valAx>
        <c:axId val="26274726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81605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656755419354299E-2"/>
          <c:y val="0.20912984835228901"/>
          <c:w val="0.89812100113726101"/>
          <c:h val="0.68070387187003101"/>
        </c:manualLayout>
      </c:layout>
      <c:lineChart>
        <c:grouping val="standard"/>
        <c:varyColors val="0"/>
        <c:ser>
          <c:idx val="0"/>
          <c:order val="0"/>
          <c:tx>
            <c:strRef>
              <c:f>Sayfa1!$F$108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strRef>
              <c:f>Sayfa1!$G$107:$R$107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Sayfa1!$G$108:$R$108</c:f>
              <c:numCache>
                <c:formatCode>0.0</c:formatCode>
                <c:ptCount val="12"/>
                <c:pt idx="0">
                  <c:v>-16.077106950674608</c:v>
                </c:pt>
                <c:pt idx="1">
                  <c:v>-25.355577848789967</c:v>
                </c:pt>
                <c:pt idx="2">
                  <c:v>-17.367980057365568</c:v>
                </c:pt>
                <c:pt idx="3">
                  <c:v>-18.916357537586432</c:v>
                </c:pt>
                <c:pt idx="4">
                  <c:v>-14.990495046458099</c:v>
                </c:pt>
                <c:pt idx="5">
                  <c:v>-16.097737126075057</c:v>
                </c:pt>
                <c:pt idx="6">
                  <c:v>-20.369013224989068</c:v>
                </c:pt>
                <c:pt idx="7">
                  <c:v>-16.805547407690653</c:v>
                </c:pt>
                <c:pt idx="8">
                  <c:v>-16.326939900546741</c:v>
                </c:pt>
                <c:pt idx="9">
                  <c:v>-12.396271080515481</c:v>
                </c:pt>
                <c:pt idx="10">
                  <c:v>-14.520761980788372</c:v>
                </c:pt>
                <c:pt idx="11">
                  <c:v>-15.895401609670408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Sayfa1!$F$109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Sayfa1!$G$107:$R$107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Sayfa1!$G$109:$R$109</c:f>
              <c:numCache>
                <c:formatCode>0.0</c:formatCode>
                <c:ptCount val="12"/>
                <c:pt idx="0">
                  <c:v>-15.607261428903501</c:v>
                </c:pt>
                <c:pt idx="1">
                  <c:v>-10.483281076249829</c:v>
                </c:pt>
                <c:pt idx="2">
                  <c:v>-11.39770112463755</c:v>
                </c:pt>
                <c:pt idx="3">
                  <c:v>-16.400952952117901</c:v>
                </c:pt>
                <c:pt idx="4">
                  <c:v>-16.683228330900434</c:v>
                </c:pt>
                <c:pt idx="5">
                  <c:v>-14.047200484675139</c:v>
                </c:pt>
                <c:pt idx="6">
                  <c:v>-10.620723492816634</c:v>
                </c:pt>
                <c:pt idx="7">
                  <c:v>-14.631479854520466</c:v>
                </c:pt>
                <c:pt idx="8">
                  <c:v>-14.904780263546767</c:v>
                </c:pt>
                <c:pt idx="9">
                  <c:v>-15.3512196599952</c:v>
                </c:pt>
                <c:pt idx="10">
                  <c:v>-16.073324906800632</c:v>
                </c:pt>
                <c:pt idx="11">
                  <c:v>-8.637695520410384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759552"/>
        <c:axId val="262761088"/>
      </c:lineChart>
      <c:catAx>
        <c:axId val="262759552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high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761088"/>
        <c:crosses val="autoZero"/>
        <c:auto val="1"/>
        <c:lblAlgn val="ctr"/>
        <c:lblOffset val="100"/>
        <c:tickLblSkip val="1"/>
        <c:noMultiLvlLbl val="0"/>
      </c:catAx>
      <c:valAx>
        <c:axId val="262761088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75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775592720331401"/>
          <c:y val="0.92048776749621597"/>
          <c:w val="0.88966666666666705"/>
          <c:h val="7.94714202391367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02405949256"/>
          <c:y val="0.20912984835228901"/>
          <c:w val="0.878275371828522"/>
          <c:h val="0.65150663458734304"/>
        </c:manualLayout>
      </c:layout>
      <c:lineChart>
        <c:grouping val="standard"/>
        <c:varyColors val="0"/>
        <c:ser>
          <c:idx val="0"/>
          <c:order val="0"/>
          <c:tx>
            <c:strRef>
              <c:f>soru4!$A$2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strRef>
              <c:f>soru4!$B$1:$M$1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soru4!$B$2:$M$2</c:f>
              <c:numCache>
                <c:formatCode>0.0</c:formatCode>
                <c:ptCount val="12"/>
                <c:pt idx="0">
                  <c:v>-7.22573049626663</c:v>
                </c:pt>
                <c:pt idx="1">
                  <c:v>-43.688254140378298</c:v>
                </c:pt>
                <c:pt idx="2">
                  <c:v>-13.566769460221</c:v>
                </c:pt>
                <c:pt idx="3">
                  <c:v>-15.3535107060345</c:v>
                </c:pt>
                <c:pt idx="4">
                  <c:v>-6.6861183077747901</c:v>
                </c:pt>
                <c:pt idx="5">
                  <c:v>-6.2470578591397699</c:v>
                </c:pt>
                <c:pt idx="6">
                  <c:v>-17.653796666832001</c:v>
                </c:pt>
                <c:pt idx="7">
                  <c:v>-7.9682871576201704</c:v>
                </c:pt>
                <c:pt idx="8">
                  <c:v>-5.3083901303305199</c:v>
                </c:pt>
                <c:pt idx="9">
                  <c:v>-1.2312446898168401</c:v>
                </c:pt>
                <c:pt idx="10">
                  <c:v>-4.0396223848356199</c:v>
                </c:pt>
                <c:pt idx="11">
                  <c:v>-6.3991729554563204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soru4!$A$3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soru4!$B$1:$M$1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soru4!$B$3:$M$3</c:f>
              <c:numCache>
                <c:formatCode>0.0</c:formatCode>
                <c:ptCount val="12"/>
                <c:pt idx="0">
                  <c:v>-11.124840483653299</c:v>
                </c:pt>
                <c:pt idx="1">
                  <c:v>-1.32909942830409</c:v>
                </c:pt>
                <c:pt idx="2">
                  <c:v>-2.4862109416807501</c:v>
                </c:pt>
                <c:pt idx="3">
                  <c:v>-10.0905721496304</c:v>
                </c:pt>
                <c:pt idx="4">
                  <c:v>-13.138927079465001</c:v>
                </c:pt>
                <c:pt idx="5">
                  <c:v>-1.30113720827432</c:v>
                </c:pt>
                <c:pt idx="6">
                  <c:v>-3.3812569903219001</c:v>
                </c:pt>
                <c:pt idx="7">
                  <c:v>-14.373031633902301</c:v>
                </c:pt>
                <c:pt idx="8">
                  <c:v>-11.931878356653201</c:v>
                </c:pt>
                <c:pt idx="9">
                  <c:v>-15.2172785356244</c:v>
                </c:pt>
                <c:pt idx="10">
                  <c:v>-11.8067797150914</c:v>
                </c:pt>
                <c:pt idx="11">
                  <c:v>6.8036784704322502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786432"/>
        <c:axId val="262792320"/>
      </c:lineChart>
      <c:catAx>
        <c:axId val="26278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792320"/>
        <c:crosses val="autoZero"/>
        <c:auto val="1"/>
        <c:lblAlgn val="ctr"/>
        <c:lblOffset val="100"/>
        <c:tickLblSkip val="1"/>
        <c:noMultiLvlLbl val="0"/>
      </c:catAx>
      <c:valAx>
        <c:axId val="2627923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78643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105555555555556"/>
          <c:y val="0.91628280839895004"/>
          <c:w val="0.85617777777777804"/>
          <c:h val="8.371719160104990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02405949256"/>
          <c:y val="0.20912984835228901"/>
          <c:w val="0.878275371828522"/>
          <c:h val="0.65150663458734304"/>
        </c:manualLayout>
      </c:layout>
      <c:lineChart>
        <c:grouping val="standard"/>
        <c:varyColors val="0"/>
        <c:ser>
          <c:idx val="0"/>
          <c:order val="0"/>
          <c:tx>
            <c:strRef>
              <c:f>soru7!$A$2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strRef>
              <c:f>soru7!$B$1:$M$1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soru7!$B$2:$M$2</c:f>
              <c:numCache>
                <c:formatCode>General</c:formatCode>
                <c:ptCount val="12"/>
                <c:pt idx="0">
                  <c:v>-43.3</c:v>
                </c:pt>
                <c:pt idx="1">
                  <c:v>-36.299999999999997</c:v>
                </c:pt>
                <c:pt idx="2">
                  <c:v>-41.3</c:v>
                </c:pt>
                <c:pt idx="3">
                  <c:v>-38.6</c:v>
                </c:pt>
                <c:pt idx="4">
                  <c:v>-39.4</c:v>
                </c:pt>
                <c:pt idx="5">
                  <c:v>-41.6</c:v>
                </c:pt>
                <c:pt idx="6">
                  <c:v>-38.5</c:v>
                </c:pt>
                <c:pt idx="7">
                  <c:v>-36.6</c:v>
                </c:pt>
                <c:pt idx="8">
                  <c:v>-39.799999999999997</c:v>
                </c:pt>
                <c:pt idx="9">
                  <c:v>-38.4</c:v>
                </c:pt>
                <c:pt idx="10">
                  <c:v>-45.6</c:v>
                </c:pt>
                <c:pt idx="11">
                  <c:v>-44.7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soru7!$A$3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soru7!$B$1:$M$1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soru7!$B$3:$M$3</c:f>
              <c:numCache>
                <c:formatCode>General</c:formatCode>
                <c:ptCount val="12"/>
                <c:pt idx="0">
                  <c:v>-37.6</c:v>
                </c:pt>
                <c:pt idx="1">
                  <c:v>-19.5</c:v>
                </c:pt>
                <c:pt idx="2">
                  <c:v>-31.1</c:v>
                </c:pt>
                <c:pt idx="3">
                  <c:v>-31.3</c:v>
                </c:pt>
                <c:pt idx="4">
                  <c:v>-31.7</c:v>
                </c:pt>
                <c:pt idx="5">
                  <c:v>-25.8</c:v>
                </c:pt>
                <c:pt idx="6">
                  <c:v>-30.5</c:v>
                </c:pt>
                <c:pt idx="7">
                  <c:v>-34.5</c:v>
                </c:pt>
                <c:pt idx="8">
                  <c:v>-43.5</c:v>
                </c:pt>
                <c:pt idx="9">
                  <c:v>-54.3</c:v>
                </c:pt>
                <c:pt idx="10">
                  <c:v>-59</c:v>
                </c:pt>
                <c:pt idx="11">
                  <c:v>-33.5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944256"/>
        <c:axId val="262945792"/>
      </c:lineChart>
      <c:catAx>
        <c:axId val="26294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945792"/>
        <c:crosses val="autoZero"/>
        <c:auto val="1"/>
        <c:lblAlgn val="ctr"/>
        <c:lblOffset val="100"/>
        <c:tickLblSkip val="1"/>
        <c:noMultiLvlLbl val="0"/>
      </c:catAx>
      <c:valAx>
        <c:axId val="262945792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tr-TR"/>
          </a:p>
        </c:txPr>
        <c:crossAx val="26294425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105555555555556"/>
          <c:y val="0.91628280839895004"/>
          <c:w val="0.88966666666666705"/>
          <c:h val="7.94714202391367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7.866273352999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80033911690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241729043129E-3"/>
                  <c:y val="1.573347579340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801577900107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628560318849325E-5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1800029421101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'1-2-4'!$AZ$75:$AZ$81</c:f>
              <c:strCache>
                <c:ptCount val="7"/>
                <c:pt idx="0">
                  <c:v>BYS mobilya, aydınlatma ekipmanı ve ev içi kullanım ürünleri </c:v>
                </c:pt>
                <c:pt idx="1">
                  <c:v>Motorlu taşıtlar</c:v>
                </c:pt>
                <c:pt idx="2">
                  <c:v>Birden fazla türde ürün satan bakkal, market ve büyük mağazalar </c:v>
                </c:pt>
                <c:pt idx="3">
                  <c:v>Elektrikli ev aletleri, radyo ve televizyonlar</c:v>
                </c:pt>
                <c:pt idx="4">
                  <c:v>Yiyecek, içecek ve tütün ürünleri </c:v>
                </c:pt>
                <c:pt idx="5">
                  <c:v>Diğer</c:v>
                </c:pt>
                <c:pt idx="6">
                  <c:v>Tekstil, hazır giyim ve ayakkabı</c:v>
                </c:pt>
              </c:strCache>
            </c:strRef>
          </c:cat>
          <c:val>
            <c:numRef>
              <c:f>'1-2-4'!$BA$75:$BA$81</c:f>
              <c:numCache>
                <c:formatCode>0.0</c:formatCode>
                <c:ptCount val="7"/>
                <c:pt idx="0">
                  <c:v>13.243676191587609</c:v>
                </c:pt>
                <c:pt idx="1">
                  <c:v>12.569384707074889</c:v>
                </c:pt>
                <c:pt idx="2">
                  <c:v>12.259771986226944</c:v>
                </c:pt>
                <c:pt idx="3">
                  <c:v>11.236829289974235</c:v>
                </c:pt>
                <c:pt idx="4">
                  <c:v>9.5333333333333368</c:v>
                </c:pt>
                <c:pt idx="5">
                  <c:v>4.500917921853512</c:v>
                </c:pt>
                <c:pt idx="6">
                  <c:v>2.1873377948077213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924736"/>
        <c:axId val="263930624"/>
      </c:barChart>
      <c:catAx>
        <c:axId val="26392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sz="900" b="1" baseline="0"/>
            </a:pPr>
            <a:endParaRPr lang="tr-TR"/>
          </a:p>
        </c:txPr>
        <c:crossAx val="263930624"/>
        <c:crosses val="autoZero"/>
        <c:auto val="1"/>
        <c:lblAlgn val="ctr"/>
        <c:lblOffset val="100"/>
        <c:noMultiLvlLbl val="0"/>
      </c:catAx>
      <c:valAx>
        <c:axId val="26393062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263924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Endeksi'!$DM$1:$DY$1</c:f>
              <c:numCache>
                <c:formatCode>[$-41F]mmmm\ yy;@</c:formatCode>
                <c:ptCount val="13"/>
                <c:pt idx="0">
                  <c:v>43072</c:v>
                </c:pt>
                <c:pt idx="1">
                  <c:v>43103</c:v>
                </c:pt>
                <c:pt idx="2">
                  <c:v>43134</c:v>
                </c:pt>
                <c:pt idx="3">
                  <c:v>43162</c:v>
                </c:pt>
                <c:pt idx="4">
                  <c:v>43193</c:v>
                </c:pt>
                <c:pt idx="5">
                  <c:v>43223</c:v>
                </c:pt>
                <c:pt idx="6">
                  <c:v>43254</c:v>
                </c:pt>
                <c:pt idx="7">
                  <c:v>43284</c:v>
                </c:pt>
                <c:pt idx="8">
                  <c:v>43315</c:v>
                </c:pt>
                <c:pt idx="9">
                  <c:v>43346</c:v>
                </c:pt>
                <c:pt idx="10">
                  <c:v>43376</c:v>
                </c:pt>
                <c:pt idx="11">
                  <c:v>43407</c:v>
                </c:pt>
                <c:pt idx="12">
                  <c:v>43437</c:v>
                </c:pt>
              </c:numCache>
            </c:numRef>
          </c:cat>
          <c:val>
            <c:numRef>
              <c:f>'TEPAV Perakende Güven Endeksi'!$DM$3:$DY$3</c:f>
              <c:numCache>
                <c:formatCode>0.0</c:formatCode>
                <c:ptCount val="13"/>
                <c:pt idx="0">
                  <c:v>-15.895401609670408</c:v>
                </c:pt>
                <c:pt idx="1">
                  <c:v>-15.607261428903501</c:v>
                </c:pt>
                <c:pt idx="2">
                  <c:v>-10.483281076249829</c:v>
                </c:pt>
                <c:pt idx="3">
                  <c:v>-11.39770112463755</c:v>
                </c:pt>
                <c:pt idx="4">
                  <c:v>-16.400952952117901</c:v>
                </c:pt>
                <c:pt idx="5">
                  <c:v>-16.683228330900434</c:v>
                </c:pt>
                <c:pt idx="6">
                  <c:v>-14.047200484675139</c:v>
                </c:pt>
                <c:pt idx="7">
                  <c:v>-10.620723492816634</c:v>
                </c:pt>
                <c:pt idx="8">
                  <c:v>-14.631479854520466</c:v>
                </c:pt>
                <c:pt idx="9">
                  <c:v>-14.904780263546767</c:v>
                </c:pt>
                <c:pt idx="10">
                  <c:v>-15.3512196599952</c:v>
                </c:pt>
                <c:pt idx="11">
                  <c:v>-16.073324906800632</c:v>
                </c:pt>
                <c:pt idx="12">
                  <c:v>-8.637695520410384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'TEPAV Perakende Güven Endeksi'!$A$4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'TEPAV Perakende Güven Endeksi'!$DM$1:$DY$1</c:f>
              <c:numCache>
                <c:formatCode>[$-41F]mmmm\ yy;@</c:formatCode>
                <c:ptCount val="13"/>
                <c:pt idx="0">
                  <c:v>43072</c:v>
                </c:pt>
                <c:pt idx="1">
                  <c:v>43103</c:v>
                </c:pt>
                <c:pt idx="2">
                  <c:v>43134</c:v>
                </c:pt>
                <c:pt idx="3">
                  <c:v>43162</c:v>
                </c:pt>
                <c:pt idx="4">
                  <c:v>43193</c:v>
                </c:pt>
                <c:pt idx="5">
                  <c:v>43223</c:v>
                </c:pt>
                <c:pt idx="6">
                  <c:v>43254</c:v>
                </c:pt>
                <c:pt idx="7">
                  <c:v>43284</c:v>
                </c:pt>
                <c:pt idx="8">
                  <c:v>43315</c:v>
                </c:pt>
                <c:pt idx="9">
                  <c:v>43346</c:v>
                </c:pt>
                <c:pt idx="10">
                  <c:v>43376</c:v>
                </c:pt>
                <c:pt idx="11">
                  <c:v>43407</c:v>
                </c:pt>
                <c:pt idx="12">
                  <c:v>43437</c:v>
                </c:pt>
              </c:numCache>
            </c:numRef>
          </c:cat>
          <c:val>
            <c:numRef>
              <c:f>'TEPAV Perakende Güven Endeksi'!$DM$4:$DY$4</c:f>
              <c:numCache>
                <c:formatCode>#,##0.0</c:formatCode>
                <c:ptCount val="13"/>
                <c:pt idx="0">
                  <c:v>5.0999999999999996</c:v>
                </c:pt>
                <c:pt idx="1">
                  <c:v>3.3</c:v>
                </c:pt>
                <c:pt idx="2">
                  <c:v>4.5</c:v>
                </c:pt>
                <c:pt idx="3">
                  <c:v>2.8</c:v>
                </c:pt>
                <c:pt idx="4">
                  <c:v>0.1</c:v>
                </c:pt>
                <c:pt idx="5">
                  <c:v>1.9</c:v>
                </c:pt>
                <c:pt idx="6">
                  <c:v>3.2</c:v>
                </c:pt>
                <c:pt idx="7">
                  <c:v>2</c:v>
                </c:pt>
                <c:pt idx="8">
                  <c:v>5</c:v>
                </c:pt>
                <c:pt idx="9">
                  <c:v>4.0999999999999996</c:v>
                </c:pt>
                <c:pt idx="10">
                  <c:v>2.4</c:v>
                </c:pt>
                <c:pt idx="11">
                  <c:v>1.1000000000000001</c:v>
                </c:pt>
                <c:pt idx="12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955968"/>
        <c:axId val="263957504"/>
      </c:lineChart>
      <c:dateAx>
        <c:axId val="263955968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263957504"/>
        <c:crosses val="autoZero"/>
        <c:auto val="1"/>
        <c:lblOffset val="100"/>
        <c:baseTimeUnit val="months"/>
      </c:dateAx>
      <c:valAx>
        <c:axId val="263957504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263955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437800585873749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'Konya Perakende Güven Endeksi'!$A$7</c:f>
              <c:strCache>
                <c:ptCount val="1"/>
                <c:pt idx="0">
                  <c:v>KOPE (Konya TO)</c:v>
                </c:pt>
              </c:strCache>
            </c:strRef>
          </c:tx>
          <c:spPr>
            <a:ln w="4445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'Konya Perakende Güven Endeksi'!$BT$6:$CF$6</c:f>
              <c:numCache>
                <c:formatCode>[$-41F]mmmm\ yy;@</c:formatCode>
                <c:ptCount val="13"/>
                <c:pt idx="0">
                  <c:v>43071</c:v>
                </c:pt>
                <c:pt idx="1">
                  <c:v>43102</c:v>
                </c:pt>
                <c:pt idx="2">
                  <c:v>43133</c:v>
                </c:pt>
                <c:pt idx="3">
                  <c:v>43161</c:v>
                </c:pt>
                <c:pt idx="4">
                  <c:v>43192</c:v>
                </c:pt>
                <c:pt idx="5">
                  <c:v>43222</c:v>
                </c:pt>
                <c:pt idx="6">
                  <c:v>43253</c:v>
                </c:pt>
                <c:pt idx="7">
                  <c:v>43283</c:v>
                </c:pt>
                <c:pt idx="8">
                  <c:v>43314</c:v>
                </c:pt>
                <c:pt idx="9">
                  <c:v>43345</c:v>
                </c:pt>
                <c:pt idx="10">
                  <c:v>43375</c:v>
                </c:pt>
                <c:pt idx="11">
                  <c:v>43406</c:v>
                </c:pt>
                <c:pt idx="12">
                  <c:v>43436</c:v>
                </c:pt>
              </c:numCache>
            </c:numRef>
          </c:cat>
          <c:val>
            <c:numRef>
              <c:f>'Konya Perakende Güven Endeksi'!$BT$7:$CF$7</c:f>
              <c:numCache>
                <c:formatCode>0.0</c:formatCode>
                <c:ptCount val="13"/>
                <c:pt idx="0">
                  <c:v>4.8857797952168331</c:v>
                </c:pt>
                <c:pt idx="1">
                  <c:v>3.7632514428567667</c:v>
                </c:pt>
                <c:pt idx="2">
                  <c:v>0.55614637178406667</c:v>
                </c:pt>
                <c:pt idx="3">
                  <c:v>-1.4909968397730999</c:v>
                </c:pt>
                <c:pt idx="4">
                  <c:v>-4.2573006377750895</c:v>
                </c:pt>
                <c:pt idx="5">
                  <c:v>0.72629504635702047</c:v>
                </c:pt>
                <c:pt idx="6">
                  <c:v>1.0759397690309331</c:v>
                </c:pt>
                <c:pt idx="7">
                  <c:v>3.6439534990503333</c:v>
                </c:pt>
                <c:pt idx="8">
                  <c:v>-1.3149411189013192</c:v>
                </c:pt>
                <c:pt idx="9">
                  <c:v>-4.5641304133010152</c:v>
                </c:pt>
                <c:pt idx="10">
                  <c:v>-10.058116199094625</c:v>
                </c:pt>
                <c:pt idx="11">
                  <c:v>-14.881444192505461</c:v>
                </c:pt>
                <c:pt idx="12">
                  <c:v>-12.839604055476459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'Konya Perakende Güven Endeksi'!$A$8</c:f>
              <c:strCache>
                <c:ptCount val="1"/>
                <c:pt idx="0">
                  <c:v>TEPE (Türkiye - TEPAV)</c:v>
                </c:pt>
              </c:strCache>
            </c:strRef>
          </c:tx>
          <c:spPr>
            <a:ln w="44450" cap="rnd">
              <a:solidFill>
                <a:srgbClr val="FF0000"/>
              </a:solidFill>
              <a:prstDash val="solid"/>
              <a:headEnd type="none"/>
              <a:tailEnd type="none" w="sm" len="sm"/>
            </a:ln>
          </c:spPr>
          <c:marker>
            <c:symbol val="none"/>
          </c:marker>
          <c:cat>
            <c:numRef>
              <c:f>'Konya Perakende Güven Endeksi'!$BT$6:$CF$6</c:f>
              <c:numCache>
                <c:formatCode>[$-41F]mmmm\ yy;@</c:formatCode>
                <c:ptCount val="13"/>
                <c:pt idx="0">
                  <c:v>43071</c:v>
                </c:pt>
                <c:pt idx="1">
                  <c:v>43102</c:v>
                </c:pt>
                <c:pt idx="2">
                  <c:v>43133</c:v>
                </c:pt>
                <c:pt idx="3">
                  <c:v>43161</c:v>
                </c:pt>
                <c:pt idx="4">
                  <c:v>43192</c:v>
                </c:pt>
                <c:pt idx="5">
                  <c:v>43222</c:v>
                </c:pt>
                <c:pt idx="6">
                  <c:v>43253</c:v>
                </c:pt>
                <c:pt idx="7">
                  <c:v>43283</c:v>
                </c:pt>
                <c:pt idx="8">
                  <c:v>43314</c:v>
                </c:pt>
                <c:pt idx="9">
                  <c:v>43345</c:v>
                </c:pt>
                <c:pt idx="10">
                  <c:v>43375</c:v>
                </c:pt>
                <c:pt idx="11">
                  <c:v>43406</c:v>
                </c:pt>
                <c:pt idx="12">
                  <c:v>43436</c:v>
                </c:pt>
              </c:numCache>
            </c:numRef>
          </c:cat>
          <c:val>
            <c:numRef>
              <c:f>'Konya Perakende Güven Endeksi'!$BT$8:$CF$8</c:f>
              <c:numCache>
                <c:formatCode>0.0</c:formatCode>
                <c:ptCount val="13"/>
                <c:pt idx="0">
                  <c:v>-15.895401609670408</c:v>
                </c:pt>
                <c:pt idx="1">
                  <c:v>-15.607261428903501</c:v>
                </c:pt>
                <c:pt idx="2">
                  <c:v>-10.483281076249829</c:v>
                </c:pt>
                <c:pt idx="3">
                  <c:v>-11.39770112463755</c:v>
                </c:pt>
                <c:pt idx="4">
                  <c:v>-16.400952952117901</c:v>
                </c:pt>
                <c:pt idx="5">
                  <c:v>-16.683228330900434</c:v>
                </c:pt>
                <c:pt idx="6">
                  <c:v>-14.047200484675139</c:v>
                </c:pt>
                <c:pt idx="7">
                  <c:v>-10.620723492816634</c:v>
                </c:pt>
                <c:pt idx="8">
                  <c:v>-14.631479854520466</c:v>
                </c:pt>
                <c:pt idx="9">
                  <c:v>-14.904780263546767</c:v>
                </c:pt>
                <c:pt idx="10">
                  <c:v>-15.3512196599952</c:v>
                </c:pt>
                <c:pt idx="11">
                  <c:v>-16.073324906800632</c:v>
                </c:pt>
                <c:pt idx="12">
                  <c:v>-8.637695520410384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'Konya Perakende Güven Endeksi'!$A$9</c:f>
              <c:strCache>
                <c:ptCount val="1"/>
                <c:pt idx="0">
                  <c:v>AB-28</c:v>
                </c:pt>
              </c:strCache>
            </c:strRef>
          </c:tx>
          <c:spPr>
            <a:ln w="444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'Konya Perakende Güven Endeksi'!$BT$6:$CF$6</c:f>
              <c:numCache>
                <c:formatCode>[$-41F]mmmm\ yy;@</c:formatCode>
                <c:ptCount val="13"/>
                <c:pt idx="0">
                  <c:v>43071</c:v>
                </c:pt>
                <c:pt idx="1">
                  <c:v>43102</c:v>
                </c:pt>
                <c:pt idx="2">
                  <c:v>43133</c:v>
                </c:pt>
                <c:pt idx="3">
                  <c:v>43161</c:v>
                </c:pt>
                <c:pt idx="4">
                  <c:v>43192</c:v>
                </c:pt>
                <c:pt idx="5">
                  <c:v>43222</c:v>
                </c:pt>
                <c:pt idx="6">
                  <c:v>43253</c:v>
                </c:pt>
                <c:pt idx="7">
                  <c:v>43283</c:v>
                </c:pt>
                <c:pt idx="8">
                  <c:v>43314</c:v>
                </c:pt>
                <c:pt idx="9">
                  <c:v>43345</c:v>
                </c:pt>
                <c:pt idx="10">
                  <c:v>43375</c:v>
                </c:pt>
                <c:pt idx="11">
                  <c:v>43406</c:v>
                </c:pt>
                <c:pt idx="12">
                  <c:v>43436</c:v>
                </c:pt>
              </c:numCache>
            </c:numRef>
          </c:cat>
          <c:val>
            <c:numRef>
              <c:f>'Konya Perakende Güven Endeksi'!$BT$9:$CF$9</c:f>
              <c:numCache>
                <c:formatCode>0.0</c:formatCode>
                <c:ptCount val="13"/>
                <c:pt idx="0">
                  <c:v>5.0999999999999996</c:v>
                </c:pt>
                <c:pt idx="1">
                  <c:v>3.3</c:v>
                </c:pt>
                <c:pt idx="2">
                  <c:v>4.5</c:v>
                </c:pt>
                <c:pt idx="3">
                  <c:v>2.8</c:v>
                </c:pt>
                <c:pt idx="4">
                  <c:v>0.1</c:v>
                </c:pt>
                <c:pt idx="5">
                  <c:v>1.9</c:v>
                </c:pt>
                <c:pt idx="6">
                  <c:v>3.2</c:v>
                </c:pt>
                <c:pt idx="7">
                  <c:v>2</c:v>
                </c:pt>
                <c:pt idx="8">
                  <c:v>5</c:v>
                </c:pt>
                <c:pt idx="9">
                  <c:v>4.0999999999999996</c:v>
                </c:pt>
                <c:pt idx="10">
                  <c:v>2.4</c:v>
                </c:pt>
                <c:pt idx="11">
                  <c:v>1.1000000000000001</c:v>
                </c:pt>
                <c:pt idx="12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822144"/>
        <c:axId val="280823680"/>
      </c:lineChart>
      <c:dateAx>
        <c:axId val="280822144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b="1" i="0" baseline="0"/>
            </a:pPr>
            <a:endParaRPr lang="tr-TR"/>
          </a:p>
        </c:txPr>
        <c:crossAx val="280823680"/>
        <c:crosses val="autoZero"/>
        <c:auto val="1"/>
        <c:lblOffset val="100"/>
        <c:baseTimeUnit val="months"/>
      </c:dateAx>
      <c:valAx>
        <c:axId val="280823680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b="1" i="0" baseline="0"/>
            </a:pPr>
            <a:endParaRPr lang="tr-TR"/>
          </a:p>
        </c:txPr>
        <c:crossAx val="280822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824715899583724E-3"/>
          <c:y val="0.8963273340832395"/>
          <c:w val="0.99139763779527568"/>
          <c:h val="8.6109111361079863E-2"/>
        </c:manualLayout>
      </c:layout>
      <c:overlay val="0"/>
      <c:txPr>
        <a:bodyPr/>
        <a:lstStyle/>
        <a:p>
          <a:pPr>
            <a:defRPr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0.06935</cdr:x>
      <cdr:y>0.27914</cdr:y>
    </cdr:from>
    <cdr:to>
      <cdr:x>0.9683</cdr:x>
      <cdr:y>0.27998</cdr:y>
    </cdr:to>
    <cdr:sp macro="" textlink="">
      <cdr:nvSpPr>
        <cdr:cNvPr id="2" name="2 Düz Bağlayıcı"/>
        <cdr:cNvSpPr/>
      </cdr:nvSpPr>
      <cdr:spPr>
        <a:xfrm xmlns:a="http://schemas.openxmlformats.org/drawingml/2006/main" flipV="1">
          <a:off x="418425" y="901323"/>
          <a:ext cx="5423867" cy="27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FF0000"/>
          </a:solidFill>
          <a:prstDash val="sys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tr-TR"/>
        </a:p>
      </cdr:txBody>
    </cdr:sp>
  </cdr:relSizeAnchor>
  <cdr:relSizeAnchor xmlns:cdr="http://schemas.openxmlformats.org/drawingml/2006/chartDrawing">
    <cdr:from>
      <cdr:x>0.7779</cdr:x>
      <cdr:y>0.19869</cdr:y>
    </cdr:from>
    <cdr:to>
      <cdr:x>0.90855</cdr:x>
      <cdr:y>0.25931</cdr:y>
    </cdr:to>
    <cdr:sp macro="" textlink="">
      <cdr:nvSpPr>
        <cdr:cNvPr id="3" name="3 Metin kutusu"/>
        <cdr:cNvSpPr txBox="1"/>
      </cdr:nvSpPr>
      <cdr:spPr>
        <a:xfrm xmlns:a="http://schemas.openxmlformats.org/drawingml/2006/main">
          <a:off x="4693478" y="641580"/>
          <a:ext cx="788284" cy="195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r-TR" sz="1100">
              <a:solidFill>
                <a:srgbClr val="FF0000"/>
              </a:solidFill>
            </a:rPr>
            <a:t>Ortalama</a:t>
          </a: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5A5B-8FA4-4566-86A0-567458EB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tepav15</dc:creator>
  <cp:lastModifiedBy>MERVE DUNDAR</cp:lastModifiedBy>
  <cp:revision>2</cp:revision>
  <cp:lastPrinted>2018-01-02T15:01:00Z</cp:lastPrinted>
  <dcterms:created xsi:type="dcterms:W3CDTF">2019-01-09T07:58:00Z</dcterms:created>
  <dcterms:modified xsi:type="dcterms:W3CDTF">2019-01-09T07:58:00Z</dcterms:modified>
</cp:coreProperties>
</file>